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>
      <w:pPr>
        <w:spacing w:after="200"/>
        <w:jc w:val="center"/>
      </w:pPr>
      <w:r>
        <w:rPr>
          <w:rFonts w:ascii="Microsoft YaHei" w:hAnsi="Microsoft YaHei" w:eastAsia="Microsoft YaHei"/>
          <w:b/>
          <w:color w:val="1F4E79"/>
          <w:sz w:val="20"/>
        </w:rPr>
        <w:t>CODEBASE MODULARIZATION ROADMAP</w:t>
      </w:r>
    </w:p>
    <w:p>
      <w:pPr>
        <w:spacing w:after="240"/>
        <w:jc w:val="center"/>
      </w:pPr>
      <w:r>
        <w:rPr>
          <w:rFonts w:ascii="Microsoft YaHei" w:hAnsi="Microsoft YaHei" w:eastAsia="Microsoft YaHei"/>
          <w:b/>
          <w:color w:val="17365D"/>
          <w:sz w:val="50"/>
        </w:rPr>
        <w:t>CMPP 平台代码文件渐进式拆分路线图</w:t>
      </w:r>
    </w:p>
    <w:p>
      <w:pPr>
        <w:spacing w:after="440"/>
        <w:jc w:val="center"/>
        <w:pBdr>
          <w:bottom w:val="single" w:sz="16" w:space="10" w:color="DCE6F1"/>
        </w:pBdr>
      </w:pPr>
      <w:r>
        <w:rPr>
          <w:rFonts w:ascii="Microsoft YaHei" w:hAnsi="Microsoft YaHei" w:eastAsia="Microsoft YaHei"/>
          <w:color w:val="667085"/>
          <w:sz w:val="25"/>
        </w:rPr>
        <w:t>跨多个可独立运行版本的渐进式拆分与风险控制方案</w:t>
      </w:r>
    </w:p>
    <w:p>
      <w:pPr>
        <w:spacing w:after="80"/>
        <w:jc w:val="center"/>
      </w:pPr>
      <w:r>
        <w:rPr>
          <w:rFonts w:ascii="Microsoft YaHei" w:hAnsi="Microsoft YaHei" w:eastAsia="Microsoft YaHei"/>
          <w:b/>
          <w:color w:val="667085"/>
          <w:sz w:val="20"/>
        </w:rPr>
        <w:t>更新日期：</w:t>
      </w:r>
      <w:r>
        <w:rPr>
          <w:rFonts w:ascii="Microsoft YaHei" w:hAnsi="Microsoft YaHei" w:eastAsia="Microsoft YaHei"/>
          <w:color w:val="1F2937"/>
          <w:sz w:val="20"/>
        </w:rPr>
        <w:t>2026-07-30</w:t>
      </w:r>
    </w:p>
    <w:p>
      <w:pPr>
        <w:spacing w:after="80"/>
        <w:jc w:val="center"/>
      </w:pPr>
      <w:r>
        <w:rPr>
          <w:rFonts w:ascii="Microsoft YaHei" w:hAnsi="Microsoft YaHei" w:eastAsia="Microsoft YaHei"/>
          <w:b/>
          <w:color w:val="667085"/>
          <w:sz w:val="20"/>
        </w:rPr>
        <w:t>适用仓库：</w:t>
      </w:r>
      <w:r>
        <w:rPr>
          <w:rFonts w:ascii="Microsoft YaHei" w:hAnsi="Microsoft YaHei" w:eastAsia="Microsoft YaHei"/>
          <w:color w:val="1F2937"/>
          <w:sz w:val="20"/>
        </w:rPr>
        <w:t>CMPP 平台主仓库</w:t>
      </w:r>
    </w:p>
    <w:p>
      <w:pPr>
        <w:spacing w:after="80"/>
        <w:jc w:val="center"/>
      </w:pPr>
      <w:r>
        <w:rPr>
          <w:rFonts w:ascii="Microsoft YaHei" w:hAnsi="Microsoft YaHei" w:eastAsia="Microsoft YaHei"/>
          <w:b/>
          <w:color w:val="667085"/>
          <w:sz w:val="20"/>
        </w:rPr>
        <w:t>规划性质：</w:t>
      </w:r>
      <w:r>
        <w:rPr>
          <w:rFonts w:ascii="Microsoft YaHei" w:hAnsi="Microsoft YaHei" w:eastAsia="Microsoft YaHei"/>
          <w:color w:val="1F2937"/>
          <w:sz w:val="20"/>
        </w:rPr>
        <w:t>跨多个发布版本逐步实施，不要求一次完成</w:t>
      </w:r>
    </w:p>
    <w:p>
      <w:pPr>
        <w:spacing w:before="560" w:after="0"/>
        <w:jc w:val="center"/>
      </w:pPr>
      <w:r>
        <w:rPr>
          <w:rFonts w:ascii="Microsoft YaHei" w:hAnsi="Microsoft YaHei" w:eastAsia="Microsoft YaHei"/>
          <w:color w:val="667085"/>
          <w:sz w:val="18"/>
        </w:rPr>
        <w:t>打印版 · A4 纵向 · 原文完整转换</w:t>
      </w:r>
    </w:p>
    <w:p>
      <w:r>
        <w:br w:type="page"/>
      </w:r>
    </w:p>
    <w:p>
      <w:pPr>
        <w:pStyle w:val="Heading1"/>
      </w:pPr>
      <w:r>
        <w:t>目录</w:t>
      </w:r>
    </w:p>
    <w:p>
      <w:pPr>
        <w:spacing w:after="100"/>
        <w:ind w:left="227"/>
      </w:pPr>
      <w:r>
        <w:rPr>
          <w:rFonts w:ascii="Microsoft YaHei" w:hAnsi="Microsoft YaHei" w:eastAsia="Microsoft YaHei"/>
          <w:b w:val="0"/>
          <w:color w:val="1F2937"/>
          <w:sz w:val="21"/>
        </w:rPr>
        <w:t>1. 目标</w:t>
      </w:r>
    </w:p>
    <w:p>
      <w:pPr>
        <w:spacing w:after="100"/>
        <w:ind w:left="227"/>
      </w:pPr>
      <w:r>
        <w:rPr>
          <w:rFonts w:ascii="Microsoft YaHei" w:hAnsi="Microsoft YaHei" w:eastAsia="Microsoft YaHei"/>
          <w:b w:val="0"/>
          <w:color w:val="1F2937"/>
          <w:sz w:val="21"/>
        </w:rPr>
        <w:t>2. 当前基线</w:t>
      </w:r>
    </w:p>
    <w:p>
      <w:pPr>
        <w:spacing w:after="100"/>
        <w:ind w:left="227"/>
      </w:pPr>
      <w:r>
        <w:rPr>
          <w:rFonts w:ascii="Microsoft YaHei" w:hAnsi="Microsoft YaHei" w:eastAsia="Microsoft YaHei"/>
          <w:b w:val="0"/>
          <w:color w:val="1F2937"/>
          <w:sz w:val="21"/>
        </w:rPr>
        <w:t>3. 必须遵守的拆分原则</w:t>
      </w:r>
    </w:p>
    <w:p>
      <w:pPr>
        <w:spacing w:after="100"/>
        <w:ind w:left="227"/>
      </w:pPr>
      <w:r>
        <w:rPr>
          <w:rFonts w:ascii="Microsoft YaHei" w:hAnsi="Microsoft YaHei" w:eastAsia="Microsoft YaHei"/>
          <w:b w:val="0"/>
          <w:color w:val="1F2937"/>
          <w:sz w:val="21"/>
        </w:rPr>
        <w:t>4. 目标目录结构</w:t>
      </w:r>
    </w:p>
    <w:p>
      <w:pPr>
        <w:spacing w:after="100"/>
        <w:ind w:left="227"/>
      </w:pPr>
      <w:r>
        <w:rPr>
          <w:rFonts w:ascii="Microsoft YaHei" w:hAnsi="Microsoft YaHei" w:eastAsia="Microsoft YaHei"/>
          <w:b w:val="0"/>
          <w:color w:val="1F2937"/>
          <w:sz w:val="21"/>
        </w:rPr>
        <w:t>5. 分版本实施路线</w:t>
      </w:r>
    </w:p>
    <w:p>
      <w:pPr>
        <w:spacing w:after="100"/>
        <w:ind w:left="227"/>
      </w:pPr>
      <w:r>
        <w:rPr>
          <w:rFonts w:ascii="Microsoft YaHei" w:hAnsi="Microsoft YaHei" w:eastAsia="Microsoft YaHei"/>
          <w:b w:val="0"/>
          <w:color w:val="1F2937"/>
          <w:sz w:val="21"/>
        </w:rPr>
        <w:t>6. 每个拆分版本的固定执行步骤</w:t>
      </w:r>
    </w:p>
    <w:p>
      <w:pPr>
        <w:spacing w:after="100"/>
        <w:ind w:left="227"/>
      </w:pPr>
      <w:r>
        <w:rPr>
          <w:rFonts w:ascii="Microsoft YaHei" w:hAnsi="Microsoft YaHei" w:eastAsia="Microsoft YaHei"/>
          <w:b w:val="0"/>
          <w:color w:val="1F2937"/>
          <w:sz w:val="21"/>
        </w:rPr>
        <w:t>7. 回滚策略</w:t>
      </w:r>
    </w:p>
    <w:p>
      <w:pPr>
        <w:spacing w:after="100"/>
        <w:ind w:left="227"/>
      </w:pPr>
      <w:r>
        <w:rPr>
          <w:rFonts w:ascii="Microsoft YaHei" w:hAnsi="Microsoft YaHei" w:eastAsia="Microsoft YaHei"/>
          <w:b w:val="0"/>
          <w:color w:val="1F2937"/>
          <w:sz w:val="21"/>
        </w:rPr>
        <w:t>8. 文件大小和依赖健康目标</w:t>
      </w:r>
    </w:p>
    <w:p>
      <w:pPr>
        <w:spacing w:after="100"/>
        <w:ind w:left="227"/>
      </w:pPr>
      <w:r>
        <w:rPr>
          <w:rFonts w:ascii="Microsoft YaHei" w:hAnsi="Microsoft YaHei" w:eastAsia="Microsoft YaHei"/>
          <w:b w:val="0"/>
          <w:color w:val="1F2937"/>
          <w:sz w:val="21"/>
        </w:rPr>
        <w:t>9. 不建议采用的做法</w:t>
      </w:r>
    </w:p>
    <w:p>
      <w:pPr>
        <w:spacing w:after="100"/>
        <w:ind w:left="227"/>
      </w:pPr>
      <w:r>
        <w:rPr>
          <w:rFonts w:ascii="Microsoft YaHei" w:hAnsi="Microsoft YaHei" w:eastAsia="Microsoft YaHei"/>
          <w:b w:val="0"/>
          <w:color w:val="1F2937"/>
          <w:sz w:val="21"/>
        </w:rPr>
        <w:t>10. 推荐起步顺序</w:t>
      </w:r>
    </w:p>
    <w:p>
      <w:pPr>
        <w:spacing w:after="100"/>
        <w:ind w:left="227"/>
      </w:pPr>
      <w:r>
        <w:rPr>
          <w:rFonts w:ascii="Microsoft YaHei" w:hAnsi="Microsoft YaHei" w:eastAsia="Microsoft YaHei"/>
          <w:b w:val="0"/>
          <w:color w:val="1F2937"/>
          <w:sz w:val="21"/>
        </w:rPr>
        <w:t>11. 每个版本的决策记录模板</w:t>
      </w:r>
    </w:p>
    <w:p>
      <w:r>
        <w:br w:type="page"/>
      </w:r>
    </w:p>
    <w:p>
      <w:pPr>
        <w:spacing w:before="60" w:after="120"/>
        <w:ind w:left="283" w:right="170"/>
        <w:shd w:fill="EEF4F8"/>
      </w:pPr>
      <w:r>
        <w:rPr>
          <w:rFonts w:ascii="Microsoft YaHei" w:hAnsi="Microsoft YaHei" w:eastAsia="Microsoft YaHei"/>
          <w:b w:val="0"/>
          <w:color w:val="17365D"/>
          <w:sz w:val="20"/>
        </w:rPr>
        <w:t>R0 已于 2026-07-30 在本地建立，不包含生产代码移动。执行资料见</w:t>
      </w:r>
    </w:p>
    <w:p>
      <w:pPr>
        <w:spacing w:before="60" w:after="120"/>
        <w:ind w:left="283" w:right="170"/>
        <w:shd w:fill="EEF4F8"/>
      </w:pPr>
      <w:r>
        <w:rPr>
          <w:rFonts w:ascii="Consolas" w:hAnsi="Consolas" w:eastAsia="Consolas"/>
          <w:b w:val="0"/>
          <w:color w:val="17365D"/>
          <w:sz w:val="19"/>
          <w:shd w:fill="EDF2F7"/>
        </w:rPr>
        <w:t>docs/refactoring/r0-responsibility-index.md</w:t>
      </w:r>
      <w:r>
        <w:rPr>
          <w:rFonts w:ascii="Microsoft YaHei" w:hAnsi="Microsoft YaHei" w:eastAsia="Microsoft YaHei"/>
          <w:b w:val="0"/>
          <w:color w:val="17365D"/>
          <w:sz w:val="20"/>
        </w:rPr>
        <w:t>、</w:t>
      </w:r>
    </w:p>
    <w:p>
      <w:pPr>
        <w:spacing w:before="60" w:after="120"/>
        <w:ind w:left="283" w:right="170"/>
        <w:shd w:fill="EEF4F8"/>
      </w:pPr>
      <w:r>
        <w:rPr>
          <w:rFonts w:ascii="Consolas" w:hAnsi="Consolas" w:eastAsia="Consolas"/>
          <w:b w:val="0"/>
          <w:color w:val="17365D"/>
          <w:sz w:val="19"/>
          <w:shd w:fill="EDF2F7"/>
        </w:rPr>
        <w:t>docs/refactoring/r0-release-gate.md</w:t>
      </w:r>
      <w:r>
        <w:rPr>
          <w:rFonts w:ascii="Microsoft YaHei" w:hAnsi="Microsoft YaHei" w:eastAsia="Microsoft YaHei"/>
          <w:b w:val="0"/>
          <w:color w:val="17365D"/>
          <w:sz w:val="20"/>
        </w:rPr>
        <w:t xml:space="preserve"> 和</w:t>
      </w:r>
    </w:p>
    <w:p>
      <w:pPr>
        <w:spacing w:before="60" w:after="120"/>
        <w:ind w:left="283" w:right="170"/>
        <w:shd w:fill="EEF4F8"/>
      </w:pPr>
      <w:r>
        <w:rPr>
          <w:rFonts w:ascii="Consolas" w:hAnsi="Consolas" w:eastAsia="Consolas"/>
          <w:b w:val="0"/>
          <w:color w:val="17365D"/>
          <w:sz w:val="19"/>
          <w:shd w:fill="EDF2F7"/>
        </w:rPr>
        <w:t>docs/contracts/refactoring-r0-manifest.json</w:t>
      </w:r>
      <w:r>
        <w:rPr>
          <w:rFonts w:ascii="Microsoft YaHei" w:hAnsi="Microsoft YaHei" w:eastAsia="Microsoft YaHei"/>
          <w:b w:val="0"/>
          <w:color w:val="17365D"/>
          <w:sz w:val="20"/>
        </w:rPr>
        <w:t>；当前仍未提交、未推送、未部署。</w:t>
      </w:r>
    </w:p>
    <w:p>
      <w:pPr>
        <w:pStyle w:val="Heading1"/>
        <w:pBdr>
          <w:bottom w:val="single" w:sz="8" w:space="3" w:color="DCE6F1"/>
        </w:pBdr>
      </w:pPr>
      <w:r>
        <w:rPr>
          <w:rFonts w:ascii="Microsoft YaHei" w:hAnsi="Microsoft YaHei" w:eastAsia="Microsoft YaHei"/>
          <w:b/>
          <w:color w:val="1F4E79"/>
          <w:sz w:val="32"/>
        </w:rPr>
        <w:t>1. 目标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本路线图用于解决部分代码文件持续膨胀、职责混杂、修改影响面难以判断的问题，同时避免“大文件一次性拆分后引入大量回归 Bug”。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拆分的首要目标不是追求更少的行数，而是：</w:t>
      </w:r>
    </w:p>
    <w:p>
      <w:pPr>
        <w:numPr>
          <w:ilvl w:val="0"/>
          <w:numId w:val="10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保持现有业务行为、接口、数据库事务、队列协议和页面交互不变。</w:t>
      </w:r>
    </w:p>
    <w:p>
      <w:pPr>
        <w:numPr>
          <w:ilvl w:val="0"/>
          <w:numId w:val="10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让每次需求修改只需要进入一个清晰的业务模块。</w:t>
      </w:r>
    </w:p>
    <w:p>
      <w:pPr>
        <w:numPr>
          <w:ilvl w:val="0"/>
          <w:numId w:val="10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降低多人或多个 AI 会话同时修改同一文件时的冲突概率。</w:t>
      </w:r>
    </w:p>
    <w:p>
      <w:pPr>
        <w:numPr>
          <w:ilvl w:val="0"/>
          <w:numId w:val="10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让测试能够按业务域定位，而不是所有测试集中在一个超大文件。</w:t>
      </w:r>
    </w:p>
    <w:p>
      <w:pPr>
        <w:numPr>
          <w:ilvl w:val="0"/>
          <w:numId w:val="10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让每个拆分版本都可以单独验证、发布、观察和回滚。</w:t>
      </w:r>
    </w:p>
    <w:p>
      <w:pPr>
        <w:pStyle w:val="Heading1"/>
        <w:pBdr>
          <w:bottom w:val="single" w:sz="8" w:space="3" w:color="DCE6F1"/>
        </w:pBdr>
      </w:pPr>
      <w:r>
        <w:rPr>
          <w:rFonts w:ascii="Microsoft YaHei" w:hAnsi="Microsoft YaHei" w:eastAsia="Microsoft YaHei"/>
          <w:b/>
          <w:color w:val="1F4E79"/>
          <w:sz w:val="32"/>
        </w:rPr>
        <w:t>2. 当前基线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 xml:space="preserve">本次盘点基于本地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main</w:t>
      </w:r>
      <w:r>
        <w:rPr>
          <w:rFonts w:ascii="Microsoft YaHei" w:hAnsi="Microsoft YaHei" w:eastAsia="Microsoft YaHei"/>
          <w:b w:val="0"/>
          <w:color w:val="1F2937"/>
          <w:sz w:val="21"/>
        </w:rPr>
        <w:t xml:space="preserve"> 分支，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HEAD</w:t>
      </w:r>
      <w:r>
        <w:rPr>
          <w:rFonts w:ascii="Microsoft YaHei" w:hAnsi="Microsoft YaHei" w:eastAsia="Microsoft YaHei"/>
          <w:b w:val="0"/>
          <w:color w:val="1F2937"/>
          <w:sz w:val="21"/>
        </w:rPr>
        <w:t xml:space="preserve"> 与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origin/main</w:t>
      </w:r>
      <w:r>
        <w:rPr>
          <w:rFonts w:ascii="Microsoft YaHei" w:hAnsi="Microsoft YaHei" w:eastAsia="Microsoft YaHei"/>
          <w:b w:val="0"/>
          <w:color w:val="1F2937"/>
          <w:sz w:val="21"/>
        </w:rPr>
        <w:t xml:space="preserve"> 均为：</w:t>
      </w:r>
    </w:p>
    <w:p>
      <w:r>
        <w:rPr>
          <w:rFonts w:ascii="Consolas" w:hAnsi="Consolas" w:eastAsia="Consolas"/>
          <w:b w:val="0"/>
          <w:color w:val="17365D"/>
          <w:sz w:val="20"/>
          <w:shd w:fill="EDF2F7"/>
        </w:rPr>
        <w:t>0af671b4ed4713912e703defd08791f164d4eb25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当前工作区存在未提交业务修改、其他会话修改及构建产物。未来执行拆分前必须重新确认基线，不得把本文件记录的状态直接视为届时事实。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>2.1 主要大文件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B8C2CC"/>
          <w:left w:val="single" w:sz="5" w:space="0" w:color="B8C2CC"/>
          <w:bottom w:val="single" w:sz="5" w:space="0" w:color="B8C2CC"/>
          <w:right w:val="single" w:sz="5" w:space="0" w:color="B8C2CC"/>
          <w:insideH w:val="single" w:sz="5" w:space="0" w:color="B8C2CC"/>
          <w:insideV w:val="single" w:sz="5" w:space="0" w:color="B8C2CC"/>
        </w:tblBorders>
      </w:tblPr>
      <w:tblGrid>
        <w:gridCol w:w="1973"/>
        <w:gridCol w:w="1973"/>
        <w:gridCol w:w="1973"/>
        <w:gridCol w:w="1973"/>
        <w:gridCol w:w="1973"/>
      </w:tblGrid>
      <w:tr>
        <w:trPr>
          <w:cantSplit w:val="true"/>
          <w:tblHeader w:val="true"/>
        </w:trP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CE6F1"/>
          </w:tcPr>
          <w:p>
            <w:pPr>
              <w:spacing w:before="0" w:after="0" w:line="259" w:lineRule="auto"/>
            </w:pPr>
            <w:r>
              <w:rPr>
                <w:rFonts w:ascii="Microsoft YaHei" w:hAnsi="Microsoft YaHei" w:eastAsia="Microsoft YaHei"/>
                <w:b/>
                <w:color w:val="17365D"/>
                <w:sz w:val="16"/>
              </w:rPr>
              <w:t>文件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CE6F1"/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17365D"/>
                <w:sz w:val="16"/>
              </w:rPr>
              <w:t>当前约行数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CE6F1"/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17365D"/>
                <w:sz w:val="16"/>
              </w:rPr>
              <w:t>最近80次提交中的变更次数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CE6F1"/>
          </w:tcPr>
          <w:p>
            <w:pPr>
              <w:spacing w:before="0" w:after="0" w:line="259" w:lineRule="auto"/>
            </w:pPr>
            <w:r>
              <w:rPr>
                <w:rFonts w:ascii="Microsoft YaHei" w:hAnsi="Microsoft YaHei" w:eastAsia="Microsoft YaHei"/>
                <w:b/>
                <w:color w:val="17365D"/>
                <w:sz w:val="16"/>
              </w:rPr>
              <w:t>主要问题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CE6F1"/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17365D"/>
                <w:sz w:val="16"/>
              </w:rPr>
              <w:t>初步风险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</w:pPr>
            <w:r>
              <w:rPr>
                <w:rFonts w:ascii="Consolas" w:hAnsi="Consolas" w:eastAsia="Consolas"/>
                <w:b w:val="0"/>
                <w:color w:val="17365D"/>
                <w:sz w:val="17"/>
                <w:shd w:fill="EDF2F7"/>
              </w:rPr>
              <w:t>src/styles/global.css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10322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42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全局样式、页面样式、响应式规则持续叠加，级联影响难判断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高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</w:pPr>
            <w:r>
              <w:rPr>
                <w:rFonts w:ascii="Consolas" w:hAnsi="Consolas" w:eastAsia="Consolas"/>
                <w:b w:val="0"/>
                <w:color w:val="17365D"/>
                <w:sz w:val="17"/>
                <w:shd w:fill="EDF2F7"/>
              </w:rPr>
              <w:t>api/src/send-chain/send-chain.service.ts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5155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50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入站、审核、计费、路由、提交、回执、补发、下游投递集中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极高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</w:pPr>
            <w:r>
              <w:rPr>
                <w:rFonts w:ascii="Consolas" w:hAnsi="Consolas" w:eastAsia="Consolas"/>
                <w:b w:val="0"/>
                <w:color w:val="17365D"/>
                <w:sz w:val="17"/>
                <w:shd w:fill="EDF2F7"/>
              </w:rPr>
              <w:t>api/src/send-chain/send-chain.service.spec.ts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3583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-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多类业务共用巨型 Mock，失败定位困难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高</w:t>
            </w:r>
          </w:p>
        </w:tc>
      </w:tr>
    </w:tbl>
    <w:p>
      <w:r>
        <w:br w:type="page"/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B8C2CC"/>
          <w:left w:val="single" w:sz="5" w:space="0" w:color="B8C2CC"/>
          <w:bottom w:val="single" w:sz="5" w:space="0" w:color="B8C2CC"/>
          <w:right w:val="single" w:sz="5" w:space="0" w:color="B8C2CC"/>
          <w:insideH w:val="single" w:sz="5" w:space="0" w:color="B8C2CC"/>
          <w:insideV w:val="single" w:sz="5" w:space="0" w:color="B8C2CC"/>
        </w:tblBorders>
      </w:tblPr>
      <w:tblGrid>
        <w:gridCol w:w="1973"/>
        <w:gridCol w:w="1973"/>
        <w:gridCol w:w="1973"/>
        <w:gridCol w:w="1973"/>
        <w:gridCol w:w="1973"/>
      </w:tblGrid>
      <w:tr>
        <w:trPr>
          <w:cantSplit w:val="true"/>
          <w:tblHeader w:val="true"/>
        </w:trP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CE6F1"/>
          </w:tcPr>
          <w:p>
            <w:pPr>
              <w:spacing w:before="0" w:after="0" w:line="259" w:lineRule="auto"/>
            </w:pPr>
            <w:r>
              <w:rPr>
                <w:rFonts w:ascii="Microsoft YaHei" w:hAnsi="Microsoft YaHei" w:eastAsia="Microsoft YaHei"/>
                <w:b/>
                <w:color w:val="17365D"/>
                <w:sz w:val="16"/>
              </w:rPr>
              <w:t>文件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CE6F1"/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17365D"/>
                <w:sz w:val="16"/>
              </w:rPr>
              <w:t>当前约行数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CE6F1"/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17365D"/>
                <w:sz w:val="16"/>
              </w:rPr>
              <w:t>最近80次提交中的变更次数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CE6F1"/>
          </w:tcPr>
          <w:p>
            <w:pPr>
              <w:spacing w:before="0" w:after="0" w:line="259" w:lineRule="auto"/>
            </w:pPr>
            <w:r>
              <w:rPr>
                <w:rFonts w:ascii="Microsoft YaHei" w:hAnsi="Microsoft YaHei" w:eastAsia="Microsoft YaHei"/>
                <w:b/>
                <w:color w:val="17365D"/>
                <w:sz w:val="16"/>
              </w:rPr>
              <w:t>主要问题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DCE6F1"/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17365D"/>
                <w:sz w:val="16"/>
              </w:rPr>
              <w:t>初步风险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</w:pPr>
            <w:r>
              <w:rPr>
                <w:rFonts w:ascii="Consolas" w:hAnsi="Consolas" w:eastAsia="Consolas"/>
                <w:b w:val="0"/>
                <w:color w:val="17365D"/>
                <w:sz w:val="17"/>
                <w:shd w:fill="EDF2F7"/>
              </w:rPr>
              <w:t>api/src/channels/channels.service.ts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2443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30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通道配置、连接、测试、路由、报备、删除治理混合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高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</w:pPr>
            <w:r>
              <w:rPr>
                <w:rFonts w:ascii="Consolas" w:hAnsi="Consolas" w:eastAsia="Consolas"/>
                <w:b w:val="0"/>
                <w:color w:val="17365D"/>
                <w:sz w:val="17"/>
                <w:shd w:fill="EDF2F7"/>
              </w:rPr>
              <w:t>api/src/operations/operations.service.ts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2282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27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短信记录、看板、统计、日志、下游恢复、追踪混合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中高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</w:pPr>
            <w:r>
              <w:rPr>
                <w:rFonts w:ascii="Consolas" w:hAnsi="Consolas" w:eastAsia="Consolas"/>
                <w:b w:val="0"/>
                <w:color w:val="17365D"/>
                <w:sz w:val="17"/>
                <w:shd w:fill="EDF2F7"/>
              </w:rPr>
              <w:t>src/api/adminApi.ts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2177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54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请求基础设施、全部 DTO/类型、所有运营端接口集中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中高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</w:pPr>
            <w:r>
              <w:rPr>
                <w:rFonts w:ascii="Consolas" w:hAnsi="Consolas" w:eastAsia="Consolas"/>
                <w:b w:val="0"/>
                <w:color w:val="17365D"/>
                <w:sz w:val="17"/>
                <w:shd w:fill="EDF2F7"/>
              </w:rPr>
              <w:t>api/src/sms-config/sms-config.service.ts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2143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38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应用、签名、模板、引流、审核、连接生命周期混合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高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</w:pPr>
            <w:r>
              <w:rPr>
                <w:rFonts w:ascii="Consolas" w:hAnsi="Consolas" w:eastAsia="Consolas"/>
                <w:b w:val="0"/>
                <w:color w:val="17365D"/>
                <w:sz w:val="17"/>
                <w:shd w:fill="EDF2F7"/>
              </w:rPr>
              <w:t>gateway/internal/inbound/server.go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约1600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18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登录、提交、会话、下游投递、ACK、恢复集中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极高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</w:pPr>
            <w:r>
              <w:rPr>
                <w:rFonts w:ascii="Consolas" w:hAnsi="Consolas" w:eastAsia="Consolas"/>
                <w:b w:val="0"/>
                <w:color w:val="17365D"/>
                <w:sz w:val="17"/>
                <w:shd w:fill="EDF2F7"/>
              </w:rPr>
              <w:t>gateway/internal/upstream/manager.go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约1500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9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连接池、重连、窗口、提交、回执、上行集中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极高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</w:pPr>
            <w:r>
              <w:rPr>
                <w:rFonts w:ascii="Consolas" w:hAnsi="Consolas" w:eastAsia="Consolas"/>
                <w:b w:val="0"/>
                <w:color w:val="17365D"/>
                <w:sz w:val="17"/>
                <w:shd w:fill="EDF2F7"/>
              </w:rPr>
              <w:t>api/src/report-materials/report-materials.service.ts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1077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-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导入、审核、批次生成、导出和幂等操作混合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中高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</w:pPr>
            <w:r>
              <w:rPr>
                <w:rFonts w:ascii="Consolas" w:hAnsi="Consolas" w:eastAsia="Consolas"/>
                <w:b w:val="0"/>
                <w:color w:val="17365D"/>
                <w:sz w:val="17"/>
                <w:shd w:fill="EDF2F7"/>
              </w:rPr>
              <w:t>src/apps/admin/AdminEnterpriseSignaturesPage.tsx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829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-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查询、表格、编辑、报备资料和多个弹窗集中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中</w:t>
            </w:r>
          </w:p>
        </w:tc>
      </w:tr>
      <w:tr>
        <w:trPr>
          <w:cantSplit w:val="true"/>
        </w:trPr>
        <w:tc>
          <w:tcPr>
            <w:tcW w:type="dxa" w:w="226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</w:pPr>
            <w:r>
              <w:rPr>
                <w:rFonts w:ascii="Consolas" w:hAnsi="Consolas" w:eastAsia="Consolas"/>
                <w:b w:val="0"/>
                <w:color w:val="17365D"/>
                <w:sz w:val="17"/>
                <w:shd w:fill="EDF2F7"/>
              </w:rPr>
              <w:t>src/apps/admin/AdminChannelsPage.tsx</w:t>
            </w:r>
          </w:p>
        </w:tc>
        <w:tc>
          <w:tcPr>
            <w:tcW w:type="dxa" w:w="907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734</w:t>
            </w:r>
          </w:p>
        </w:tc>
        <w:tc>
          <w:tcPr>
            <w:tcW w:type="dxa" w:w="102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-</w:t>
            </w:r>
          </w:p>
        </w:tc>
        <w:tc>
          <w:tcPr>
            <w:tcW w:type="dxa" w:w="3515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列表、状态、测试、连接详情和编辑交互集中</w:t>
            </w:r>
          </w:p>
        </w:tc>
        <w:tc>
          <w:tcPr>
            <w:tcW w:type="dxa" w:w="850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before="0" w:after="0" w:line="259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1F2937"/>
                <w:sz w:val="16"/>
              </w:rPr>
              <w:t>中</w:t>
            </w:r>
          </w:p>
        </w:tc>
      </w:tr>
    </w:tbl>
    <w:p>
      <w:pPr>
        <w:spacing w:after="20"/>
      </w:pPr>
    </w:p>
    <w:p>
      <w:r>
        <w:rPr>
          <w:rFonts w:ascii="Microsoft YaHei" w:hAnsi="Microsoft YaHei" w:eastAsia="Microsoft YaHei"/>
          <w:b w:val="0"/>
          <w:color w:val="1F2937"/>
          <w:sz w:val="21"/>
        </w:rPr>
        <w:t>行数只能用于发现候选文件，不能单独决定优先级。发送链和 Gateway 即使测试较多，仍因并发、幂等、账务和协议状态机而具有最高拆分风险。</w:t>
      </w:r>
    </w:p>
    <w:p>
      <w:pPr>
        <w:pStyle w:val="Heading1"/>
        <w:pBdr>
          <w:bottom w:val="single" w:sz="8" w:space="3" w:color="DCE6F1"/>
        </w:pBdr>
      </w:pPr>
      <w:r>
        <w:rPr>
          <w:rFonts w:ascii="Microsoft YaHei" w:hAnsi="Microsoft YaHei" w:eastAsia="Microsoft YaHei"/>
          <w:b/>
          <w:color w:val="1F4E79"/>
          <w:sz w:val="32"/>
        </w:rPr>
        <w:t>3. 必须遵守的拆分原则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>3.1 先锁定行为，再移动代码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每个拆分版本先补“特征测试”，记录当前真实行为，再执行移动。特征测试至少覆盖：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请求和响应结构；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数据库写入及事务边界；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幂等键和唯一约束；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Redis Stream 或队列消息结构；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状态流转；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错误码和用户可见提示；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时间、时区及金额精度；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CMPP 报文、Sequence_Id、Msg_Id 和分片行为。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如果当前行为本身存在 Bug，应先单独修复并发布，再开始对应模块的纯重构。禁止在同一个提交中同时“大范围拆分 + 修改业务规则”。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>3.2 保留稳定门面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拆分初期保留原有类、导出名和控制器调用方式：</w:t>
      </w:r>
    </w:p>
    <w:p>
      <w:pPr>
        <w:pStyle w:val="CodeBlock"/>
        <w:shd w:fill="F3F5F7"/>
      </w:pPr>
      <w:r>
        <w:rPr>
          <w:rFonts w:ascii="Consolas" w:hAnsi="Consolas" w:eastAsia="Consolas"/>
          <w:color w:val="263238"/>
          <w:sz w:val="17"/>
        </w:rPr>
        <w:t>Controller</w:t>
        <w:br/>
      </w:r>
      <w:r>
        <w:rPr>
          <w:rFonts w:ascii="Consolas" w:hAnsi="Consolas" w:eastAsia="Consolas"/>
          <w:color w:val="263238"/>
          <w:sz w:val="17"/>
        </w:rPr>
        <w:t xml:space="preserve">    ↓</w:t>
        <w:br/>
      </w:r>
      <w:r>
        <w:rPr>
          <w:rFonts w:ascii="Consolas" w:hAnsi="Consolas" w:eastAsia="Consolas"/>
          <w:color w:val="263238"/>
          <w:sz w:val="17"/>
        </w:rPr>
        <w:t>原 Service / API 门面（签名不变）</w:t>
        <w:br/>
      </w:r>
      <w:r>
        <w:rPr>
          <w:rFonts w:ascii="Consolas" w:hAnsi="Consolas" w:eastAsia="Consolas"/>
          <w:color w:val="263238"/>
          <w:sz w:val="17"/>
        </w:rPr>
        <w:t xml:space="preserve">    ↓</w:t>
        <w:br/>
      </w:r>
      <w:r>
        <w:rPr>
          <w:rFonts w:ascii="Consolas" w:hAnsi="Consolas" w:eastAsia="Consolas"/>
          <w:color w:val="263238"/>
          <w:sz w:val="17"/>
        </w:rPr>
        <w:t>新拆分的领域服务、查询服务或纯函数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例如：</w:t>
      </w:r>
    </w:p>
    <w:p>
      <w:pPr>
        <w:pStyle w:val="ListBullet"/>
      </w:pPr>
      <w:r>
        <w:rPr>
          <w:rFonts w:ascii="Consolas" w:hAnsi="Consolas" w:eastAsia="Consolas"/>
          <w:b w:val="0"/>
          <w:color w:val="17365D"/>
          <w:sz w:val="20"/>
          <w:shd w:fill="EDF2F7"/>
        </w:rPr>
        <w:t>SendChainService</w:t>
      </w:r>
      <w:r>
        <w:rPr>
          <w:rFonts w:ascii="Microsoft YaHei" w:hAnsi="Microsoft YaHei" w:eastAsia="Microsoft YaHei"/>
          <w:b w:val="0"/>
          <w:color w:val="1F2937"/>
          <w:sz w:val="21"/>
        </w:rPr>
        <w:t xml:space="preserve"> 在较长时间内继续存在，控制器和其他模块不立即改依赖。</w:t>
      </w:r>
    </w:p>
    <w:p>
      <w:pPr>
        <w:pStyle w:val="ListBullet"/>
      </w:pPr>
      <w:r>
        <w:rPr>
          <w:rFonts w:ascii="Consolas" w:hAnsi="Consolas" w:eastAsia="Consolas"/>
          <w:b w:val="0"/>
          <w:color w:val="17365D"/>
          <w:sz w:val="20"/>
          <w:shd w:fill="EDF2F7"/>
        </w:rPr>
        <w:t>adminApi.ts</w:t>
      </w:r>
      <w:r>
        <w:rPr>
          <w:rFonts w:ascii="Microsoft YaHei" w:hAnsi="Microsoft YaHei" w:eastAsia="Microsoft YaHei"/>
          <w:b w:val="0"/>
          <w:color w:val="1F2937"/>
          <w:sz w:val="21"/>
        </w:rPr>
        <w:t xml:space="preserve"> 继续导出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adminApi</w:t>
      </w:r>
      <w:r>
        <w:rPr>
          <w:rFonts w:ascii="Microsoft YaHei" w:hAnsi="Microsoft YaHei" w:eastAsia="Microsoft YaHei"/>
          <w:b w:val="0"/>
          <w:color w:val="1F2937"/>
          <w:sz w:val="21"/>
        </w:rPr>
        <w:t>，页面不在同一版本内批量改 import。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 xml:space="preserve">Gateway 的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Server</w:t>
      </w:r>
      <w:r>
        <w:rPr>
          <w:rFonts w:ascii="Microsoft YaHei" w:hAnsi="Microsoft YaHei" w:eastAsia="Microsoft YaHei"/>
          <w:b w:val="0"/>
          <w:color w:val="1F2937"/>
          <w:sz w:val="21"/>
        </w:rPr>
        <w:t xml:space="preserve"> 和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Manager</w:t>
      </w:r>
      <w:r>
        <w:rPr>
          <w:rFonts w:ascii="Microsoft YaHei" w:hAnsi="Microsoft YaHei" w:eastAsia="Microsoft YaHei"/>
          <w:b w:val="0"/>
          <w:color w:val="1F2937"/>
          <w:sz w:val="21"/>
        </w:rPr>
        <w:t xml:space="preserve"> 对外方法签名先保持不变。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只有新模块稳定运行至少一个发布周期后，才评估是否缩小或删除旧门面。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>3.3 每个版本只拆一个业务域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一个拆分版本不得同时横跨发送链、通道、运营统计和 Gateway。建议边界：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一个后端业务域；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或一个前端 API 域；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或一个页面；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或一个 Gateway 状态机子域。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如果一个版本的 diff 已经难以由人工逐段复核，应继续切小。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>3.4 先拆纯逻辑，再拆副作用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优先移动：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DTO 和类型；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常量；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数据格式转换；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状态判定；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号码、运营商、报文和时间计算；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查询条件构造；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响应映射。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后移动：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PostgreSQL 事务；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账户扣费和退款；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Redis Stream 发布；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Gateway 控制命令；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补发抢占；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最终回执投递；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CMPP 连接与 ACK 状态机。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>3.5 事务不能被“拆没”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 xml:space="preserve">原本在一个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$transaction</w:t>
      </w:r>
      <w:r>
        <w:rPr>
          <w:rFonts w:ascii="Microsoft YaHei" w:hAnsi="Microsoft YaHei" w:eastAsia="Microsoft YaHei"/>
          <w:b w:val="0"/>
          <w:color w:val="1F2937"/>
          <w:sz w:val="21"/>
        </w:rPr>
        <w:t xml:space="preserve"> 中完成的操作，不得因为拆成多个 Service 就变成多个独立事务。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推荐做法：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顶层用例服务持有事务；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 xml:space="preserve">子模块接收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Prisma.TransactionClient</w:t>
      </w:r>
      <w:r>
        <w:rPr>
          <w:rFonts w:ascii="Microsoft YaHei" w:hAnsi="Microsoft YaHei" w:eastAsia="Microsoft YaHei"/>
          <w:b w:val="0"/>
          <w:color w:val="1F2937"/>
          <w:sz w:val="21"/>
        </w:rPr>
        <w:t>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子模块不得自行提交与顶层业务重复的事务；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明确记录锁顺序、唯一约束和幂等键；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对并发路径保留真实 PostgreSQL 验证。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>3.6 依赖只能单向流动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建议依赖方向：</w:t>
      </w:r>
    </w:p>
    <w:p>
      <w:pPr>
        <w:pStyle w:val="CodeBlock"/>
        <w:shd w:fill="F3F5F7"/>
      </w:pPr>
      <w:r>
        <w:rPr>
          <w:rFonts w:ascii="Consolas" w:hAnsi="Consolas" w:eastAsia="Consolas"/>
          <w:color w:val="263238"/>
          <w:sz w:val="17"/>
        </w:rPr>
        <w:t>controller / transport</w:t>
        <w:br/>
      </w:r>
      <w:r>
        <w:rPr>
          <w:rFonts w:ascii="Consolas" w:hAnsi="Consolas" w:eastAsia="Consolas"/>
          <w:color w:val="263238"/>
          <w:sz w:val="17"/>
        </w:rPr>
        <w:t xml:space="preserve">        ↓</w:t>
        <w:br/>
      </w:r>
      <w:r>
        <w:rPr>
          <w:rFonts w:ascii="Consolas" w:hAnsi="Consolas" w:eastAsia="Consolas"/>
          <w:color w:val="263238"/>
          <w:sz w:val="17"/>
        </w:rPr>
        <w:t>application use case</w:t>
        <w:br/>
      </w:r>
      <w:r>
        <w:rPr>
          <w:rFonts w:ascii="Consolas" w:hAnsi="Consolas" w:eastAsia="Consolas"/>
          <w:color w:val="263238"/>
          <w:sz w:val="17"/>
        </w:rPr>
        <w:t xml:space="preserve">        ↓</w:t>
        <w:br/>
      </w:r>
      <w:r>
        <w:rPr>
          <w:rFonts w:ascii="Consolas" w:hAnsi="Consolas" w:eastAsia="Consolas"/>
          <w:color w:val="263238"/>
          <w:sz w:val="17"/>
        </w:rPr>
        <w:t>domain policy / pure logic</w:t>
        <w:br/>
      </w:r>
      <w:r>
        <w:rPr>
          <w:rFonts w:ascii="Consolas" w:hAnsi="Consolas" w:eastAsia="Consolas"/>
          <w:color w:val="263238"/>
          <w:sz w:val="17"/>
        </w:rPr>
        <w:t xml:space="preserve">        ↓</w:t>
        <w:br/>
      </w:r>
      <w:r>
        <w:rPr>
          <w:rFonts w:ascii="Consolas" w:hAnsi="Consolas" w:eastAsia="Consolas"/>
          <w:color w:val="263238"/>
          <w:sz w:val="17"/>
        </w:rPr>
        <w:t>repository and infrastructure adapter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 xml:space="preserve">禁止新模块之间互相注入形成循环依赖。出现循环依赖时，优先提取共享契约或重新确定用例归属，不用更多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forwardRef</w:t>
      </w:r>
      <w:r>
        <w:rPr>
          <w:rFonts w:ascii="Microsoft YaHei" w:hAnsi="Microsoft YaHei" w:eastAsia="Microsoft YaHei"/>
          <w:b w:val="0"/>
          <w:color w:val="1F2937"/>
          <w:sz w:val="21"/>
        </w:rPr>
        <w:t xml:space="preserve"> 掩盖问题。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>3.7 每个移动都要可追溯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纯移动时尽量保留原代码，不同时重命名、格式化和改写逻辑。推荐顺序：</w:t>
      </w:r>
    </w:p>
    <w:p>
      <w:pPr>
        <w:numPr>
          <w:ilvl w:val="0"/>
          <w:numId w:val="11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原样复制到新文件；</w:t>
      </w:r>
    </w:p>
    <w:p>
      <w:pPr>
        <w:numPr>
          <w:ilvl w:val="0"/>
          <w:numId w:val="11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原门面改为委托；</w:t>
      </w:r>
    </w:p>
    <w:p>
      <w:pPr>
        <w:numPr>
          <w:ilvl w:val="0"/>
          <w:numId w:val="11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测试通过；</w:t>
      </w:r>
    </w:p>
    <w:p>
      <w:pPr>
        <w:numPr>
          <w:ilvl w:val="0"/>
          <w:numId w:val="11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再在后续小提交中优化命名或结构。</w:t>
      </w:r>
    </w:p>
    <w:p>
      <w:pPr>
        <w:pStyle w:val="Heading1"/>
        <w:pBdr>
          <w:bottom w:val="single" w:sz="8" w:space="3" w:color="DCE6F1"/>
        </w:pBdr>
      </w:pPr>
      <w:r>
        <w:rPr>
          <w:rFonts w:ascii="Microsoft YaHei" w:hAnsi="Microsoft YaHei" w:eastAsia="Microsoft YaHei"/>
          <w:b/>
          <w:color w:val="1F4E79"/>
          <w:sz w:val="32"/>
        </w:rPr>
        <w:t>4. 目标目录结构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目标结构不是一次性创建，只有实际拆到对应版本时才新增目录。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>4.1 前端 API</w:t>
      </w:r>
    </w:p>
    <w:p>
      <w:pPr>
        <w:pStyle w:val="CodeBlock"/>
        <w:shd w:fill="F3F5F7"/>
      </w:pPr>
      <w:r>
        <w:rPr>
          <w:rFonts w:ascii="Consolas" w:hAnsi="Consolas" w:eastAsia="Consolas"/>
          <w:color w:val="263238"/>
          <w:sz w:val="17"/>
        </w:rPr>
        <w:t>src/api/</w:t>
        <w:br/>
      </w:r>
      <w:r>
        <w:rPr>
          <w:rFonts w:ascii="Consolas" w:hAnsi="Consolas" w:eastAsia="Consolas"/>
          <w:color w:val="263238"/>
          <w:sz w:val="17"/>
        </w:rPr>
        <w:t>├─ core/</w:t>
        <w:br/>
      </w:r>
      <w:r>
        <w:rPr>
          <w:rFonts w:ascii="Consolas" w:hAnsi="Consolas" w:eastAsia="Consolas"/>
          <w:color w:val="263238"/>
          <w:sz w:val="17"/>
        </w:rPr>
        <w:t>│  ├─ httpClient.ts</w:t>
        <w:br/>
      </w:r>
      <w:r>
        <w:rPr>
          <w:rFonts w:ascii="Consolas" w:hAnsi="Consolas" w:eastAsia="Consolas"/>
          <w:color w:val="263238"/>
          <w:sz w:val="17"/>
        </w:rPr>
        <w:t>│  ├─ requestError.ts</w:t>
        <w:br/>
      </w:r>
      <w:r>
        <w:rPr>
          <w:rFonts w:ascii="Consolas" w:hAnsi="Consolas" w:eastAsia="Consolas"/>
          <w:color w:val="263238"/>
          <w:sz w:val="17"/>
        </w:rPr>
        <w:t>│  ├─ query.ts</w:t>
        <w:br/>
      </w:r>
      <w:r>
        <w:rPr>
          <w:rFonts w:ascii="Consolas" w:hAnsi="Consolas" w:eastAsia="Consolas"/>
          <w:color w:val="263238"/>
          <w:sz w:val="17"/>
        </w:rPr>
        <w:t>│  └─ upload.ts</w:t>
        <w:br/>
      </w:r>
      <w:r>
        <w:rPr>
          <w:rFonts w:ascii="Consolas" w:hAnsi="Consolas" w:eastAsia="Consolas"/>
          <w:color w:val="263238"/>
          <w:sz w:val="17"/>
        </w:rPr>
        <w:t>├─ admin/</w:t>
        <w:br/>
      </w:r>
      <w:r>
        <w:rPr>
          <w:rFonts w:ascii="Consolas" w:hAnsi="Consolas" w:eastAsia="Consolas"/>
          <w:color w:val="263238"/>
          <w:sz w:val="17"/>
        </w:rPr>
        <w:t>│  ├─ auth.api.ts</w:t>
        <w:br/>
      </w:r>
      <w:r>
        <w:rPr>
          <w:rFonts w:ascii="Consolas" w:hAnsi="Consolas" w:eastAsia="Consolas"/>
          <w:color w:val="263238"/>
          <w:sz w:val="17"/>
        </w:rPr>
        <w:t>│  ├─ tenants.api.ts</w:t>
        <w:br/>
      </w:r>
      <w:r>
        <w:rPr>
          <w:rFonts w:ascii="Consolas" w:hAnsi="Consolas" w:eastAsia="Consolas"/>
          <w:color w:val="263238"/>
          <w:sz w:val="17"/>
        </w:rPr>
        <w:t>│  ├─ applications.api.ts</w:t>
        <w:br/>
      </w:r>
      <w:r>
        <w:rPr>
          <w:rFonts w:ascii="Consolas" w:hAnsi="Consolas" w:eastAsia="Consolas"/>
          <w:color w:val="263238"/>
          <w:sz w:val="17"/>
        </w:rPr>
        <w:t>│  ├─ channels.api.ts</w:t>
        <w:br/>
      </w:r>
      <w:r>
        <w:rPr>
          <w:rFonts w:ascii="Consolas" w:hAnsi="Consolas" w:eastAsia="Consolas"/>
          <w:color w:val="263238"/>
          <w:sz w:val="17"/>
        </w:rPr>
        <w:t>│  ├─ riskReview.api.ts</w:t>
        <w:br/>
      </w:r>
      <w:r>
        <w:rPr>
          <w:rFonts w:ascii="Consolas" w:hAnsi="Consolas" w:eastAsia="Consolas"/>
          <w:color w:val="263238"/>
          <w:sz w:val="17"/>
        </w:rPr>
        <w:t>│  ├─ operations.api.ts</w:t>
        <w:br/>
      </w:r>
      <w:r>
        <w:rPr>
          <w:rFonts w:ascii="Consolas" w:hAnsi="Consolas" w:eastAsia="Consolas"/>
          <w:color w:val="263238"/>
          <w:sz w:val="17"/>
        </w:rPr>
        <w:t>│  ├─ reports.api.ts</w:t>
        <w:br/>
      </w:r>
      <w:r>
        <w:rPr>
          <w:rFonts w:ascii="Consolas" w:hAnsi="Consolas" w:eastAsia="Consolas"/>
          <w:color w:val="263238"/>
          <w:sz w:val="17"/>
        </w:rPr>
        <w:t>│  └─ billing.api.ts</w:t>
        <w:br/>
      </w:r>
      <w:r>
        <w:rPr>
          <w:rFonts w:ascii="Consolas" w:hAnsi="Consolas" w:eastAsia="Consolas"/>
          <w:color w:val="263238"/>
          <w:sz w:val="17"/>
        </w:rPr>
        <w:t>├─ client/</w:t>
        <w:br/>
      </w:r>
      <w:r>
        <w:rPr>
          <w:rFonts w:ascii="Consolas" w:hAnsi="Consolas" w:eastAsia="Consolas"/>
          <w:color w:val="263238"/>
          <w:sz w:val="17"/>
        </w:rPr>
        <w:t>│  └─ ...</w:t>
        <w:br/>
      </w:r>
      <w:r>
        <w:rPr>
          <w:rFonts w:ascii="Consolas" w:hAnsi="Consolas" w:eastAsia="Consolas"/>
          <w:color w:val="263238"/>
          <w:sz w:val="17"/>
        </w:rPr>
        <w:t>├─ types/</w:t>
        <w:br/>
      </w:r>
      <w:r>
        <w:rPr>
          <w:rFonts w:ascii="Consolas" w:hAnsi="Consolas" w:eastAsia="Consolas"/>
          <w:color w:val="263238"/>
          <w:sz w:val="17"/>
        </w:rPr>
        <w:t>│  ├─ common.ts</w:t>
        <w:br/>
      </w:r>
      <w:r>
        <w:rPr>
          <w:rFonts w:ascii="Consolas" w:hAnsi="Consolas" w:eastAsia="Consolas"/>
          <w:color w:val="263238"/>
          <w:sz w:val="17"/>
        </w:rPr>
        <w:t>│  ├─ channel.ts</w:t>
        <w:br/>
      </w:r>
      <w:r>
        <w:rPr>
          <w:rFonts w:ascii="Consolas" w:hAnsi="Consolas" w:eastAsia="Consolas"/>
          <w:color w:val="263238"/>
          <w:sz w:val="17"/>
        </w:rPr>
        <w:t>│  ├─ sms.ts</w:t>
        <w:br/>
      </w:r>
      <w:r>
        <w:rPr>
          <w:rFonts w:ascii="Consolas" w:hAnsi="Consolas" w:eastAsia="Consolas"/>
          <w:color w:val="263238"/>
          <w:sz w:val="17"/>
        </w:rPr>
        <w:t>│  ├─ risk.ts</w:t>
        <w:br/>
      </w:r>
      <w:r>
        <w:rPr>
          <w:rFonts w:ascii="Consolas" w:hAnsi="Consolas" w:eastAsia="Consolas"/>
          <w:color w:val="263238"/>
          <w:sz w:val="17"/>
        </w:rPr>
        <w:t>│  └─ operations.ts</w:t>
        <w:br/>
      </w:r>
      <w:r>
        <w:rPr>
          <w:rFonts w:ascii="Consolas" w:hAnsi="Consolas" w:eastAsia="Consolas"/>
          <w:color w:val="263238"/>
          <w:sz w:val="17"/>
        </w:rPr>
        <w:t>└─ adminApi.ts</w:t>
      </w:r>
    </w:p>
    <w:p>
      <w:r>
        <w:rPr>
          <w:rFonts w:ascii="Consolas" w:hAnsi="Consolas" w:eastAsia="Consolas"/>
          <w:b w:val="0"/>
          <w:color w:val="17365D"/>
          <w:sz w:val="20"/>
          <w:shd w:fill="EDF2F7"/>
        </w:rPr>
        <w:t>adminApi.ts</w:t>
      </w:r>
      <w:r>
        <w:rPr>
          <w:rFonts w:ascii="Microsoft YaHei" w:hAnsi="Microsoft YaHei" w:eastAsia="Microsoft YaHei"/>
          <w:b w:val="0"/>
          <w:color w:val="1F2937"/>
          <w:sz w:val="21"/>
        </w:rPr>
        <w:t xml:space="preserve"> 暂时作为兼容门面重新组合各领域 API，现有页面仍可继续从原路径导入。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>4.2 NestJS 业务模块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每个现有模块内部优先按用例拆分，不急于创建新的顶级 Nest Module：</w:t>
      </w:r>
    </w:p>
    <w:p>
      <w:pPr>
        <w:pStyle w:val="CodeBlock"/>
        <w:shd w:fill="F3F5F7"/>
      </w:pPr>
      <w:r>
        <w:rPr>
          <w:rFonts w:ascii="Consolas" w:hAnsi="Consolas" w:eastAsia="Consolas"/>
          <w:color w:val="263238"/>
          <w:sz w:val="17"/>
        </w:rPr>
        <w:t>api/src/operations/</w:t>
        <w:br/>
      </w:r>
      <w:r>
        <w:rPr>
          <w:rFonts w:ascii="Consolas" w:hAnsi="Consolas" w:eastAsia="Consolas"/>
          <w:color w:val="263238"/>
          <w:sz w:val="17"/>
        </w:rPr>
        <w:t>├─ operations.service.ts</w:t>
        <w:br/>
      </w:r>
      <w:r>
        <w:rPr>
          <w:rFonts w:ascii="Consolas" w:hAnsi="Consolas" w:eastAsia="Consolas"/>
          <w:color w:val="263238"/>
          <w:sz w:val="17"/>
        </w:rPr>
        <w:t>├─ queries/</w:t>
        <w:br/>
      </w:r>
      <w:r>
        <w:rPr>
          <w:rFonts w:ascii="Consolas" w:hAnsi="Consolas" w:eastAsia="Consolas"/>
          <w:color w:val="263238"/>
          <w:sz w:val="17"/>
        </w:rPr>
        <w:t>│  ├─ message-query.service.ts</w:t>
        <w:br/>
      </w:r>
      <w:r>
        <w:rPr>
          <w:rFonts w:ascii="Consolas" w:hAnsi="Consolas" w:eastAsia="Consolas"/>
          <w:color w:val="263238"/>
          <w:sz w:val="17"/>
        </w:rPr>
        <w:t>│  ├─ dashboard-query.service.ts</w:t>
        <w:br/>
      </w:r>
      <w:r>
        <w:rPr>
          <w:rFonts w:ascii="Consolas" w:hAnsi="Consolas" w:eastAsia="Consolas"/>
          <w:color w:val="263238"/>
          <w:sz w:val="17"/>
        </w:rPr>
        <w:t>│  ├─ quality-query.service.ts</w:t>
        <w:br/>
      </w:r>
      <w:r>
        <w:rPr>
          <w:rFonts w:ascii="Consolas" w:hAnsi="Consolas" w:eastAsia="Consolas"/>
          <w:color w:val="263238"/>
          <w:sz w:val="17"/>
        </w:rPr>
        <w:t>│  └─ system-log-query.service.ts</w:t>
        <w:br/>
      </w:r>
      <w:r>
        <w:rPr>
          <w:rFonts w:ascii="Consolas" w:hAnsi="Consolas" w:eastAsia="Consolas"/>
          <w:color w:val="263238"/>
          <w:sz w:val="17"/>
        </w:rPr>
        <w:t>├─ downstream/</w:t>
        <w:br/>
      </w:r>
      <w:r>
        <w:rPr>
          <w:rFonts w:ascii="Consolas" w:hAnsi="Consolas" w:eastAsia="Consolas"/>
          <w:color w:val="263238"/>
          <w:sz w:val="17"/>
        </w:rPr>
        <w:t>│  ├─ downstream-delivery-query.service.ts</w:t>
        <w:br/>
      </w:r>
      <w:r>
        <w:rPr>
          <w:rFonts w:ascii="Consolas" w:hAnsi="Consolas" w:eastAsia="Consolas"/>
          <w:color w:val="263238"/>
          <w:sz w:val="17"/>
        </w:rPr>
        <w:t>│  └─ downstream-recovery-query.service.ts</w:t>
        <w:br/>
      </w:r>
      <w:r>
        <w:rPr>
          <w:rFonts w:ascii="Consolas" w:hAnsi="Consolas" w:eastAsia="Consolas"/>
          <w:color w:val="263238"/>
          <w:sz w:val="17"/>
        </w:rPr>
        <w:t>├─ mappers/</w:t>
        <w:br/>
      </w:r>
      <w:r>
        <w:rPr>
          <w:rFonts w:ascii="Consolas" w:hAnsi="Consolas" w:eastAsia="Consolas"/>
          <w:color w:val="263238"/>
          <w:sz w:val="17"/>
        </w:rPr>
        <w:t>└─ types/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只有当子域具有独立控制器、生命周期和明确依赖边界时，才升级为独立 Nest Module。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>4.3 发送链</w:t>
      </w:r>
    </w:p>
    <w:p>
      <w:pPr>
        <w:pStyle w:val="CodeBlock"/>
        <w:shd w:fill="F3F5F7"/>
      </w:pPr>
      <w:r>
        <w:rPr>
          <w:rFonts w:ascii="Consolas" w:hAnsi="Consolas" w:eastAsia="Consolas"/>
          <w:color w:val="263238"/>
          <w:sz w:val="17"/>
        </w:rPr>
        <w:t>api/src/send-chain/</w:t>
        <w:br/>
      </w:r>
      <w:r>
        <w:rPr>
          <w:rFonts w:ascii="Consolas" w:hAnsi="Consolas" w:eastAsia="Consolas"/>
          <w:color w:val="263238"/>
          <w:sz w:val="17"/>
        </w:rPr>
        <w:t>├─ send-chain.service.ts              # 稳定门面</w:t>
        <w:br/>
      </w:r>
      <w:r>
        <w:rPr>
          <w:rFonts w:ascii="Consolas" w:hAnsi="Consolas" w:eastAsia="Consolas"/>
          <w:color w:val="263238"/>
          <w:sz w:val="17"/>
        </w:rPr>
        <w:t>├─ contracts/</w:t>
        <w:br/>
      </w:r>
      <w:r>
        <w:rPr>
          <w:rFonts w:ascii="Consolas" w:hAnsi="Consolas" w:eastAsia="Consolas"/>
          <w:color w:val="263238"/>
          <w:sz w:val="17"/>
        </w:rPr>
        <w:t>│  ├─ send-command.types.ts</w:t>
        <w:br/>
      </w:r>
      <w:r>
        <w:rPr>
          <w:rFonts w:ascii="Consolas" w:hAnsi="Consolas" w:eastAsia="Consolas"/>
          <w:color w:val="263238"/>
          <w:sz w:val="17"/>
        </w:rPr>
        <w:t>│  ├─ gateway-event.types.ts</w:t>
        <w:br/>
      </w:r>
      <w:r>
        <w:rPr>
          <w:rFonts w:ascii="Consolas" w:hAnsi="Consolas" w:eastAsia="Consolas"/>
          <w:color w:val="263238"/>
          <w:sz w:val="17"/>
        </w:rPr>
        <w:t>│  └─ send-result.types.ts</w:t>
        <w:br/>
      </w:r>
      <w:r>
        <w:rPr>
          <w:rFonts w:ascii="Consolas" w:hAnsi="Consolas" w:eastAsia="Consolas"/>
          <w:color w:val="263238"/>
          <w:sz w:val="17"/>
        </w:rPr>
        <w:t>├─ ingress/</w:t>
        <w:br/>
      </w:r>
      <w:r>
        <w:rPr>
          <w:rFonts w:ascii="Consolas" w:hAnsi="Consolas" w:eastAsia="Consolas"/>
          <w:color w:val="263238"/>
          <w:sz w:val="17"/>
        </w:rPr>
        <w:t>│  ├─ http-ingress.service.ts</w:t>
        <w:br/>
      </w:r>
      <w:r>
        <w:rPr>
          <w:rFonts w:ascii="Consolas" w:hAnsi="Consolas" w:eastAsia="Consolas"/>
          <w:color w:val="263238"/>
          <w:sz w:val="17"/>
        </w:rPr>
        <w:t>│  ├─ cmpp-ingress.service.ts</w:t>
        <w:br/>
      </w:r>
      <w:r>
        <w:rPr>
          <w:rFonts w:ascii="Consolas" w:hAnsi="Consolas" w:eastAsia="Consolas"/>
          <w:color w:val="263238"/>
          <w:sz w:val="17"/>
        </w:rPr>
        <w:t>│  └─ batch-ingress.service.ts</w:t>
        <w:br/>
      </w:r>
      <w:r>
        <w:rPr>
          <w:rFonts w:ascii="Consolas" w:hAnsi="Consolas" w:eastAsia="Consolas"/>
          <w:color w:val="263238"/>
          <w:sz w:val="17"/>
        </w:rPr>
        <w:t>├─ policy/</w:t>
        <w:br/>
      </w:r>
      <w:r>
        <w:rPr>
          <w:rFonts w:ascii="Consolas" w:hAnsi="Consolas" w:eastAsia="Consolas"/>
          <w:color w:val="263238"/>
          <w:sz w:val="17"/>
        </w:rPr>
        <w:t>│  ├─ send-resource.policy.ts</w:t>
        <w:br/>
      </w:r>
      <w:r>
        <w:rPr>
          <w:rFonts w:ascii="Consolas" w:hAnsi="Consolas" w:eastAsia="Consolas"/>
          <w:color w:val="263238"/>
          <w:sz w:val="17"/>
        </w:rPr>
        <w:t>│  ├─ message-classification.policy.ts</w:t>
        <w:br/>
      </w:r>
      <w:r>
        <w:rPr>
          <w:rFonts w:ascii="Consolas" w:hAnsi="Consolas" w:eastAsia="Consolas"/>
          <w:color w:val="263238"/>
          <w:sz w:val="17"/>
        </w:rPr>
        <w:t>│  └─ channel-selection.policy.ts</w:t>
        <w:br/>
      </w:r>
      <w:r>
        <w:rPr>
          <w:rFonts w:ascii="Consolas" w:hAnsi="Consolas" w:eastAsia="Consolas"/>
          <w:color w:val="263238"/>
          <w:sz w:val="17"/>
        </w:rPr>
        <w:t>├─ dispatch/</w:t>
        <w:br/>
      </w:r>
      <w:r>
        <w:rPr>
          <w:rFonts w:ascii="Consolas" w:hAnsi="Consolas" w:eastAsia="Consolas"/>
          <w:color w:val="263238"/>
          <w:sz w:val="17"/>
        </w:rPr>
        <w:t>│  ├─ dispatch.service.ts</w:t>
        <w:br/>
      </w:r>
      <w:r>
        <w:rPr>
          <w:rFonts w:ascii="Consolas" w:hAnsi="Consolas" w:eastAsia="Consolas"/>
          <w:color w:val="263238"/>
          <w:sz w:val="17"/>
        </w:rPr>
        <w:t>│  └─ gateway-submit.publisher.ts</w:t>
        <w:br/>
      </w:r>
      <w:r>
        <w:rPr>
          <w:rFonts w:ascii="Consolas" w:hAnsi="Consolas" w:eastAsia="Consolas"/>
          <w:color w:val="263238"/>
          <w:sz w:val="17"/>
        </w:rPr>
        <w:t>├─ receipts/</w:t>
        <w:br/>
      </w:r>
      <w:r>
        <w:rPr>
          <w:rFonts w:ascii="Consolas" w:hAnsi="Consolas" w:eastAsia="Consolas"/>
          <w:color w:val="263238"/>
          <w:sz w:val="17"/>
        </w:rPr>
        <w:t>│  ├─ submit-result.service.ts</w:t>
        <w:br/>
      </w:r>
      <w:r>
        <w:rPr>
          <w:rFonts w:ascii="Consolas" w:hAnsi="Consolas" w:eastAsia="Consolas"/>
          <w:color w:val="263238"/>
          <w:sz w:val="17"/>
        </w:rPr>
        <w:t>│  ├─ segment-receipt.service.ts</w:t>
        <w:br/>
      </w:r>
      <w:r>
        <w:rPr>
          <w:rFonts w:ascii="Consolas" w:hAnsi="Consolas" w:eastAsia="Consolas"/>
          <w:color w:val="263238"/>
          <w:sz w:val="17"/>
        </w:rPr>
        <w:t>│  └─ receipt-aggregation.service.ts</w:t>
        <w:br/>
      </w:r>
      <w:r>
        <w:rPr>
          <w:rFonts w:ascii="Consolas" w:hAnsi="Consolas" w:eastAsia="Consolas"/>
          <w:color w:val="263238"/>
          <w:sz w:val="17"/>
        </w:rPr>
        <w:t>├─ retry/</w:t>
        <w:br/>
      </w:r>
      <w:r>
        <w:rPr>
          <w:rFonts w:ascii="Consolas" w:hAnsi="Consolas" w:eastAsia="Consolas"/>
          <w:color w:val="263238"/>
          <w:sz w:val="17"/>
        </w:rPr>
        <w:t>│  └─ retry-orchestrator.service.ts</w:t>
        <w:br/>
      </w:r>
      <w:r>
        <w:rPr>
          <w:rFonts w:ascii="Consolas" w:hAnsi="Consolas" w:eastAsia="Consolas"/>
          <w:color w:val="263238"/>
          <w:sz w:val="17"/>
        </w:rPr>
        <w:t>├─ downstream/</w:t>
        <w:br/>
      </w:r>
      <w:r>
        <w:rPr>
          <w:rFonts w:ascii="Consolas" w:hAnsi="Consolas" w:eastAsia="Consolas"/>
          <w:color w:val="263238"/>
          <w:sz w:val="17"/>
        </w:rPr>
        <w:t>│  └─ final-receipt-delivery.service.ts</w:t>
        <w:br/>
      </w:r>
      <w:r>
        <w:rPr>
          <w:rFonts w:ascii="Consolas" w:hAnsi="Consolas" w:eastAsia="Consolas"/>
          <w:color w:val="263238"/>
          <w:sz w:val="17"/>
        </w:rPr>
        <w:t>└─ persistence/</w:t>
        <w:br/>
      </w:r>
      <w:r>
        <w:rPr>
          <w:rFonts w:ascii="Consolas" w:hAnsi="Consolas" w:eastAsia="Consolas"/>
          <w:color w:val="263238"/>
          <w:sz w:val="17"/>
        </w:rPr>
        <w:t xml:space="preserve">   └─ send-chain.repository.ts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该结构只是目标边界。不得在一个版本中一次创建并迁移全部目录。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>4.4 Gateway</w:t>
      </w:r>
    </w:p>
    <w:p>
      <w:pPr>
        <w:pStyle w:val="CodeBlock"/>
        <w:shd w:fill="F3F5F7"/>
      </w:pPr>
      <w:r>
        <w:rPr>
          <w:rFonts w:ascii="Consolas" w:hAnsi="Consolas" w:eastAsia="Consolas"/>
          <w:color w:val="263238"/>
          <w:sz w:val="17"/>
        </w:rPr>
        <w:t>gateway/internal/inbound/</w:t>
        <w:br/>
      </w:r>
      <w:r>
        <w:rPr>
          <w:rFonts w:ascii="Consolas" w:hAnsi="Consolas" w:eastAsia="Consolas"/>
          <w:color w:val="263238"/>
          <w:sz w:val="17"/>
        </w:rPr>
        <w:t>├─ server.go                # 对外门面和生命周期</w:t>
        <w:br/>
      </w:r>
      <w:r>
        <w:rPr>
          <w:rFonts w:ascii="Consolas" w:hAnsi="Consolas" w:eastAsia="Consolas"/>
          <w:color w:val="263238"/>
          <w:sz w:val="17"/>
        </w:rPr>
        <w:t>├─ auth.go</w:t>
        <w:br/>
      </w:r>
      <w:r>
        <w:rPr>
          <w:rFonts w:ascii="Consolas" w:hAnsi="Consolas" w:eastAsia="Consolas"/>
          <w:color w:val="263238"/>
          <w:sz w:val="17"/>
        </w:rPr>
        <w:t>├─ submit_handler.go</w:t>
        <w:br/>
      </w:r>
      <w:r>
        <w:rPr>
          <w:rFonts w:ascii="Consolas" w:hAnsi="Consolas" w:eastAsia="Consolas"/>
          <w:color w:val="263238"/>
          <w:sz w:val="17"/>
        </w:rPr>
        <w:t>├─ session_registry.go</w:t>
        <w:br/>
      </w:r>
      <w:r>
        <w:rPr>
          <w:rFonts w:ascii="Consolas" w:hAnsi="Consolas" w:eastAsia="Consolas"/>
          <w:color w:val="263238"/>
          <w:sz w:val="17"/>
        </w:rPr>
        <w:t>├─ downstream_delivery.go</w:t>
        <w:br/>
      </w:r>
      <w:r>
        <w:rPr>
          <w:rFonts w:ascii="Consolas" w:hAnsi="Consolas" w:eastAsia="Consolas"/>
          <w:color w:val="263238"/>
          <w:sz w:val="17"/>
        </w:rPr>
        <w:t>├─ acknowledgement.go</w:t>
        <w:br/>
      </w:r>
      <w:r>
        <w:rPr>
          <w:rFonts w:ascii="Consolas" w:hAnsi="Consolas" w:eastAsia="Consolas"/>
          <w:color w:val="263238"/>
          <w:sz w:val="17"/>
        </w:rPr>
        <w:t>├─ recovery.go</w:t>
        <w:br/>
      </w:r>
      <w:r>
        <w:rPr>
          <w:rFonts w:ascii="Consolas" w:hAnsi="Consolas" w:eastAsia="Consolas"/>
          <w:color w:val="263238"/>
          <w:sz w:val="17"/>
        </w:rPr>
        <w:t>└─ protocol_log.go</w:t>
        <w:br/>
      </w:r>
      <w:r>
        <w:rPr>
          <w:rFonts w:ascii="Consolas" w:hAnsi="Consolas" w:eastAsia="Consolas"/>
          <w:color w:val="263238"/>
          <w:sz w:val="17"/>
        </w:rPr>
        <w:t xml:space="preserve"> </w:t>
        <w:br/>
      </w:r>
      <w:r>
        <w:rPr>
          <w:rFonts w:ascii="Consolas" w:hAnsi="Consolas" w:eastAsia="Consolas"/>
          <w:color w:val="263238"/>
          <w:sz w:val="17"/>
        </w:rPr>
        <w:t>gateway/internal/upstream/</w:t>
        <w:br/>
      </w:r>
      <w:r>
        <w:rPr>
          <w:rFonts w:ascii="Consolas" w:hAnsi="Consolas" w:eastAsia="Consolas"/>
          <w:color w:val="263238"/>
          <w:sz w:val="17"/>
        </w:rPr>
        <w:t>├─ manager.go               # 对外门面</w:t>
        <w:br/>
      </w:r>
      <w:r>
        <w:rPr>
          <w:rFonts w:ascii="Consolas" w:hAnsi="Consolas" w:eastAsia="Consolas"/>
          <w:color w:val="263238"/>
          <w:sz w:val="17"/>
        </w:rPr>
        <w:t>├─ pool.go</w:t>
        <w:br/>
      </w:r>
      <w:r>
        <w:rPr>
          <w:rFonts w:ascii="Consolas" w:hAnsi="Consolas" w:eastAsia="Consolas"/>
          <w:color w:val="263238"/>
          <w:sz w:val="17"/>
        </w:rPr>
        <w:t>├─ connection.go</w:t>
        <w:br/>
      </w:r>
      <w:r>
        <w:rPr>
          <w:rFonts w:ascii="Consolas" w:hAnsi="Consolas" w:eastAsia="Consolas"/>
          <w:color w:val="263238"/>
          <w:sz w:val="17"/>
        </w:rPr>
        <w:t>├─ reconnect.go</w:t>
        <w:br/>
      </w:r>
      <w:r>
        <w:rPr>
          <w:rFonts w:ascii="Consolas" w:hAnsi="Consolas" w:eastAsia="Consolas"/>
          <w:color w:val="263238"/>
          <w:sz w:val="17"/>
        </w:rPr>
        <w:t>├─ submit.go</w:t>
        <w:br/>
      </w:r>
      <w:r>
        <w:rPr>
          <w:rFonts w:ascii="Consolas" w:hAnsi="Consolas" w:eastAsia="Consolas"/>
          <w:color w:val="263238"/>
          <w:sz w:val="17"/>
        </w:rPr>
        <w:t>├─ deliver.go</w:t>
        <w:br/>
      </w:r>
      <w:r>
        <w:rPr>
          <w:rFonts w:ascii="Consolas" w:hAnsi="Consolas" w:eastAsia="Consolas"/>
          <w:color w:val="263238"/>
          <w:sz w:val="17"/>
        </w:rPr>
        <w:t>├─ heartbeat.go</w:t>
        <w:br/>
      </w:r>
      <w:r>
        <w:rPr>
          <w:rFonts w:ascii="Consolas" w:hAnsi="Consolas" w:eastAsia="Consolas"/>
          <w:color w:val="263238"/>
          <w:sz w:val="17"/>
        </w:rPr>
        <w:t>└─ protocol_log.go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Go 拆分仍保留同一个 package，第一阶段不跨 package，以免扩大可见性和循环依赖问题。</w:t>
      </w:r>
    </w:p>
    <w:p>
      <w:pPr>
        <w:pStyle w:val="Heading1"/>
        <w:pBdr>
          <w:bottom w:val="single" w:sz="8" w:space="3" w:color="DCE6F1"/>
        </w:pBdr>
      </w:pPr>
      <w:r>
        <w:rPr>
          <w:rFonts w:ascii="Microsoft YaHei" w:hAnsi="Microsoft YaHei" w:eastAsia="Microsoft YaHei"/>
          <w:b/>
          <w:color w:val="1F4E79"/>
          <w:sz w:val="32"/>
        </w:rPr>
        <w:t>5. 分版本实施路线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>版本 R0：建立重构安全护栏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本版本不拆生产代码。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工作内容：</w:t>
      </w:r>
    </w:p>
    <w:p>
      <w:pPr>
        <w:numPr>
          <w:ilvl w:val="0"/>
          <w:numId w:val="12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固化当前全量测试基线和关键业务路径清单。</w:t>
      </w:r>
    </w:p>
    <w:p>
      <w:pPr>
        <w:numPr>
          <w:ilvl w:val="0"/>
          <w:numId w:val="12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为大文件建立职责索引，记录每个公开方法的调用方、数据库表、队列和副作用。</w:t>
      </w:r>
    </w:p>
    <w:p>
      <w:pPr>
        <w:numPr>
          <w:ilvl w:val="0"/>
          <w:numId w:val="12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补齐当前缺失的特征测试，优先覆盖发送链并发、通道重连、Gateway ACK 和账号账务。</w:t>
      </w:r>
    </w:p>
    <w:p>
      <w:pPr>
        <w:numPr>
          <w:ilvl w:val="0"/>
          <w:numId w:val="12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保存典型 API 响应、Redis Stream 消息和 CMPP 报文样本。</w:t>
      </w:r>
    </w:p>
    <w:p>
      <w:pPr>
        <w:numPr>
          <w:ilvl w:val="0"/>
          <w:numId w:val="12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建立每版本固定验收清单和回滚清单。</w:t>
      </w:r>
    </w:p>
    <w:p>
      <w:pPr>
        <w:numPr>
          <w:ilvl w:val="0"/>
          <w:numId w:val="12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约定同一重构版本内，大文件只由一个会话负责结构修改。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完成标准：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没有业务代码移动；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已能用测试回答“拆前行为是什么”；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所有后续版本都有可复用的门禁命令。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 xml:space="preserve">版本 R1：拆分 </w:t>
      </w:r>
      <w:r>
        <w:rPr>
          <w:rFonts w:ascii="Consolas" w:hAnsi="Consolas" w:eastAsia="Consolas"/>
          <w:b w:val="0"/>
          <w:color w:val="17365D"/>
          <w:sz w:val="25"/>
          <w:shd w:fill="EDF2F7"/>
        </w:rPr>
        <w:t>adminApi.ts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这是推荐的第一个实际拆分版本，风险相对可控，且能快速减少多人修改冲突。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工作内容：</w:t>
      </w:r>
    </w:p>
    <w:p>
      <w:pPr>
        <w:numPr>
          <w:ilvl w:val="0"/>
          <w:numId w:val="13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 xml:space="preserve">先把通用请求、错误处理、文件上传和查询字符串逻辑移动到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src/api/core/</w:t>
      </w:r>
      <w:r>
        <w:rPr>
          <w:rFonts w:ascii="Microsoft YaHei" w:hAnsi="Microsoft YaHei" w:eastAsia="Microsoft YaHei"/>
          <w:b w:val="0"/>
          <w:color w:val="1F2937"/>
          <w:sz w:val="21"/>
        </w:rPr>
        <w:t>。</w:t>
      </w:r>
    </w:p>
    <w:p>
      <w:pPr>
        <w:numPr>
          <w:ilvl w:val="0"/>
          <w:numId w:val="13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 xml:space="preserve">把类型按业务域移动到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src/api/types/</w:t>
      </w:r>
      <w:r>
        <w:rPr>
          <w:rFonts w:ascii="Microsoft YaHei" w:hAnsi="Microsoft YaHei" w:eastAsia="Microsoft YaHei"/>
          <w:b w:val="0"/>
          <w:color w:val="1F2937"/>
          <w:sz w:val="21"/>
        </w:rPr>
        <w:t>。</w:t>
      </w:r>
    </w:p>
    <w:p>
      <w:pPr>
        <w:numPr>
          <w:ilvl w:val="0"/>
          <w:numId w:val="13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每次只移动一个领域 API，例如先认证和企业，再通道，再运营统计。</w:t>
      </w:r>
    </w:p>
    <w:p>
      <w:pPr>
        <w:numPr>
          <w:ilvl w:val="0"/>
          <w:numId w:val="13"/>
        </w:numPr>
        <w:spacing w:after="60" w:line="283" w:lineRule="auto"/>
        <w:ind w:left="425" w:hanging="255"/>
      </w:pPr>
      <w:r>
        <w:rPr>
          <w:rFonts w:ascii="Consolas" w:hAnsi="Consolas" w:eastAsia="Consolas"/>
          <w:b w:val="0"/>
          <w:color w:val="17365D"/>
          <w:sz w:val="20"/>
          <w:shd w:fill="EDF2F7"/>
        </w:rPr>
        <w:t>adminApi.ts</w:t>
      </w:r>
      <w:r>
        <w:rPr>
          <w:rFonts w:ascii="Microsoft YaHei" w:hAnsi="Microsoft YaHei" w:eastAsia="Microsoft YaHei"/>
          <w:b w:val="0"/>
          <w:color w:val="1F2937"/>
          <w:sz w:val="21"/>
        </w:rPr>
        <w:t xml:space="preserve"> 继续汇总并导出同名方法，页面 import 暂时不变。</w:t>
      </w:r>
    </w:p>
    <w:p>
      <w:pPr>
        <w:numPr>
          <w:ilvl w:val="0"/>
          <w:numId w:val="13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不修改 URL、HTTP 方法、请求体、返回类型和会话处理。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建议拆成多个小发布：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R1.1：请求核心与公共类型；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R1.2：企业、用户、应用；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R1.3：通道、通道组、报备；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R1.4：运营统计、日志、短信记录；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R1.5：审核、风控、账务。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专项验证：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登录、401、403重新认证和会话锁定；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文件上传与Blob导出；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所有页面 TypeScript 构建；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运营端关键菜单真实 API 冒烟。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 xml:space="preserve">版本 R2：拆分运营查询 </w:t>
      </w:r>
      <w:r>
        <w:rPr>
          <w:rFonts w:ascii="Consolas" w:hAnsi="Consolas" w:eastAsia="Consolas"/>
          <w:b w:val="0"/>
          <w:color w:val="17365D"/>
          <w:sz w:val="25"/>
          <w:shd w:fill="EDF2F7"/>
        </w:rPr>
        <w:t>operations.service.ts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先拆读多写少的查询，暂不动发送链副作用。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拆分顺序：</w:t>
      </w:r>
    </w:p>
    <w:p>
      <w:pPr>
        <w:numPr>
          <w:ilvl w:val="0"/>
          <w:numId w:val="14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短信记录查询和 CSV 导出；</w:t>
      </w:r>
    </w:p>
    <w:p>
      <w:pPr>
        <w:numPr>
          <w:ilvl w:val="0"/>
          <w:numId w:val="14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上行短信查询；</w:t>
      </w:r>
    </w:p>
    <w:p>
      <w:pPr>
        <w:numPr>
          <w:ilvl w:val="0"/>
          <w:numId w:val="14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运营看板；</w:t>
      </w:r>
    </w:p>
    <w:p>
      <w:pPr>
        <w:numPr>
          <w:ilvl w:val="0"/>
          <w:numId w:val="14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发送质量与签名质量统计；</w:t>
      </w:r>
    </w:p>
    <w:p>
      <w:pPr>
        <w:numPr>
          <w:ilvl w:val="0"/>
          <w:numId w:val="14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系统日志与导出；</w:t>
      </w:r>
    </w:p>
    <w:p>
      <w:pPr>
        <w:numPr>
          <w:ilvl w:val="0"/>
          <w:numId w:val="14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下游投递、恢复状态和详情；</w:t>
      </w:r>
    </w:p>
    <w:p>
      <w:pPr>
        <w:numPr>
          <w:ilvl w:val="0"/>
          <w:numId w:val="14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追踪、对账和审计汇总。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 xml:space="preserve">保留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OperationsService</w:t>
      </w:r>
      <w:r>
        <w:rPr>
          <w:rFonts w:ascii="Microsoft YaHei" w:hAnsi="Microsoft YaHei" w:eastAsia="Microsoft YaHei"/>
          <w:b w:val="0"/>
          <w:color w:val="1F2937"/>
          <w:sz w:val="21"/>
        </w:rPr>
        <w:t xml:space="preserve"> 作为门面。控制器路由、查询参数和响应结构不变。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专项验证：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PostgreSQL分页总数与当前页一致；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北京时间边界和UTC存储解释；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运营商兼容值与未识别分类；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CSV字段、顺序、编码；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客户端安全视图不泄漏内部通道信息；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大数据量查询计划和索引仍有效。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 xml:space="preserve">版本 R3：拆分短信配置 </w:t>
      </w:r>
      <w:r>
        <w:rPr>
          <w:rFonts w:ascii="Consolas" w:hAnsi="Consolas" w:eastAsia="Consolas"/>
          <w:b w:val="0"/>
          <w:color w:val="17365D"/>
          <w:sz w:val="25"/>
          <w:shd w:fill="EDF2F7"/>
        </w:rPr>
        <w:t>sms-config.service.ts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按业务对象拆分，而不是按“增删改查”拆分：</w:t>
      </w:r>
    </w:p>
    <w:p>
      <w:pPr>
        <w:numPr>
          <w:ilvl w:val="0"/>
          <w:numId w:val="15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应用配置与接入参数；</w:t>
      </w:r>
    </w:p>
    <w:p>
      <w:pPr>
        <w:numPr>
          <w:ilvl w:val="0"/>
          <w:numId w:val="15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应用停用生命周期和下游连接；</w:t>
      </w:r>
    </w:p>
    <w:p>
      <w:pPr>
        <w:numPr>
          <w:ilvl w:val="0"/>
          <w:numId w:val="15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签名及报备字段快照；</w:t>
      </w:r>
    </w:p>
    <w:p>
      <w:pPr>
        <w:numPr>
          <w:ilvl w:val="0"/>
          <w:numId w:val="15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引流信息；</w:t>
      </w:r>
    </w:p>
    <w:p>
      <w:pPr>
        <w:numPr>
          <w:ilvl w:val="0"/>
          <w:numId w:val="15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模板；</w:t>
      </w:r>
    </w:p>
    <w:p>
      <w:pPr>
        <w:numPr>
          <w:ilvl w:val="0"/>
          <w:numId w:val="15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审核记录与审核动作；</w:t>
      </w:r>
    </w:p>
    <w:p>
      <w:pPr>
        <w:numPr>
          <w:ilvl w:val="0"/>
          <w:numId w:val="15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共享报备资料校验。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 xml:space="preserve">第一阶段仍由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SmsConfigService</w:t>
      </w:r>
      <w:r>
        <w:rPr>
          <w:rFonts w:ascii="Microsoft YaHei" w:hAnsi="Microsoft YaHei" w:eastAsia="Microsoft YaHei"/>
          <w:b w:val="0"/>
          <w:color w:val="1F2937"/>
          <w:sz w:val="21"/>
        </w:rPr>
        <w:t xml:space="preserve"> 委托各子服务。DTO 从 Service 文件移到独立 contract 文件，控制器不再直接从实现类文件导入 DTO。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专项验证：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客户端租户边界；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应用停用状态机；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CMPP账号和接入号唯一性；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签名、模板、引流审核状态；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报备字段快照；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操作日志和审核人员；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删除治理接口保持不变。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>版本 R4：拆分报备资料与大页面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 xml:space="preserve">后端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report-materials.service.ts</w:t>
      </w:r>
      <w:r>
        <w:rPr>
          <w:rFonts w:ascii="Microsoft YaHei" w:hAnsi="Microsoft YaHei" w:eastAsia="Microsoft YaHei"/>
          <w:b w:val="0"/>
          <w:color w:val="1F2937"/>
          <w:sz w:val="21"/>
        </w:rPr>
        <w:t xml:space="preserve"> 按以下边界拆分：</w:t>
      </w:r>
    </w:p>
    <w:p>
      <w:pPr>
        <w:numPr>
          <w:ilvl w:val="0"/>
          <w:numId w:val="16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官方模板与导出；</w:t>
      </w:r>
    </w:p>
    <w:p>
      <w:pPr>
        <w:numPr>
          <w:ilvl w:val="0"/>
          <w:numId w:val="16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导入解析和映射；</w:t>
      </w:r>
    </w:p>
    <w:p>
      <w:pPr>
        <w:numPr>
          <w:ilvl w:val="0"/>
          <w:numId w:val="16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暂存与逐行审核；</w:t>
      </w:r>
    </w:p>
    <w:p>
      <w:pPr>
        <w:numPr>
          <w:ilvl w:val="0"/>
          <w:numId w:val="16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待生成资料查询；</w:t>
      </w:r>
    </w:p>
    <w:p>
      <w:pPr>
        <w:numPr>
          <w:ilvl w:val="0"/>
          <w:numId w:val="16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批次预检与生成；</w:t>
      </w:r>
    </w:p>
    <w:p>
      <w:pPr>
        <w:numPr>
          <w:ilvl w:val="0"/>
          <w:numId w:val="16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通道文件导出；</w:t>
      </w:r>
    </w:p>
    <w:p>
      <w:pPr>
        <w:numPr>
          <w:ilvl w:val="0"/>
          <w:numId w:val="16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幂等操作记录。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 xml:space="preserve">前端只选择一个页面实施，例如先拆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AdminEnterpriseSignaturesPage.tsx</w:t>
      </w:r>
      <w:r>
        <w:rPr>
          <w:rFonts w:ascii="Microsoft YaHei" w:hAnsi="Microsoft YaHei" w:eastAsia="Microsoft YaHei"/>
          <w:b w:val="0"/>
          <w:color w:val="1F2937"/>
          <w:sz w:val="21"/>
        </w:rPr>
        <w:t>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页面容器负责查询参数和协调；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表格列独立；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编辑弹窗独立；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报备资料弹窗独立；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API请求仍由页面容器或专用 Hook 统一发起。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不得在同一版本同时拆多个大页面。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 xml:space="preserve">版本 R5：拆分通道服务 </w:t>
      </w:r>
      <w:r>
        <w:rPr>
          <w:rFonts w:ascii="Consolas" w:hAnsi="Consolas" w:eastAsia="Consolas"/>
          <w:b w:val="0"/>
          <w:color w:val="17365D"/>
          <w:sz w:val="25"/>
          <w:shd w:fill="EDF2F7"/>
        </w:rPr>
        <w:t>channels.service.ts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建议边界：</w:t>
      </w:r>
    </w:p>
    <w:p>
      <w:pPr>
        <w:numPr>
          <w:ilvl w:val="0"/>
          <w:numId w:val="17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通道配置 CRUD；</w:t>
      </w:r>
    </w:p>
    <w:p>
      <w:pPr>
        <w:numPr>
          <w:ilvl w:val="0"/>
          <w:numId w:val="17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通道连接状态和重连控制；</w:t>
      </w:r>
    </w:p>
    <w:p>
      <w:pPr>
        <w:numPr>
          <w:ilvl w:val="0"/>
          <w:numId w:val="17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通道测试短信；</w:t>
      </w:r>
    </w:p>
    <w:p>
      <w:pPr>
        <w:numPr>
          <w:ilvl w:val="0"/>
          <w:numId w:val="17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通道组和路由规则；</w:t>
      </w:r>
    </w:p>
    <w:p>
      <w:pPr>
        <w:numPr>
          <w:ilvl w:val="0"/>
          <w:numId w:val="17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报备字段映射；</w:t>
      </w:r>
    </w:p>
    <w:p>
      <w:pPr>
        <w:numPr>
          <w:ilvl w:val="0"/>
          <w:numId w:val="17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通道复制；</w:t>
      </w:r>
    </w:p>
    <w:p>
      <w:pPr>
        <w:numPr>
          <w:ilvl w:val="0"/>
          <w:numId w:val="17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删除预检和审计。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高风险约束：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编辑非连接参数不得触发重连；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Gateway先连接/断开控制语义不变；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不修改真实通道账号、密码和启停状态做测试；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测试短信必须单独授权；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通道组顺序、权重、主备和补发规则保持一致。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>版本 R6：拆分 Gateway 入站服务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 xml:space="preserve">先在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gateway/internal/inbound</w:t>
      </w:r>
      <w:r>
        <w:rPr>
          <w:rFonts w:ascii="Microsoft YaHei" w:hAnsi="Microsoft YaHei" w:eastAsia="Microsoft YaHei"/>
          <w:b w:val="0"/>
          <w:color w:val="1F2937"/>
          <w:sz w:val="21"/>
        </w:rPr>
        <w:t xml:space="preserve"> 同一 package 内移动代码：</w:t>
      </w:r>
    </w:p>
    <w:p>
      <w:pPr>
        <w:numPr>
          <w:ilvl w:val="0"/>
          <w:numId w:val="18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协议辅助函数和报文转换；</w:t>
      </w:r>
    </w:p>
    <w:p>
      <w:pPr>
        <w:numPr>
          <w:ilvl w:val="0"/>
          <w:numId w:val="18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登录认证；</w:t>
      </w:r>
    </w:p>
    <w:p>
      <w:pPr>
        <w:numPr>
          <w:ilvl w:val="0"/>
          <w:numId w:val="18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下游会话注册表；</w:t>
      </w:r>
    </w:p>
    <w:p>
      <w:pPr>
        <w:numPr>
          <w:ilvl w:val="0"/>
          <w:numId w:val="18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Submit处理；</w:t>
      </w:r>
    </w:p>
    <w:p>
      <w:pPr>
        <w:numPr>
          <w:ilvl w:val="0"/>
          <w:numId w:val="18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下游Deliver发送；</w:t>
      </w:r>
    </w:p>
    <w:p>
      <w:pPr>
        <w:numPr>
          <w:ilvl w:val="0"/>
          <w:numId w:val="18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ACK追踪与超时；</w:t>
      </w:r>
    </w:p>
    <w:p>
      <w:pPr>
        <w:numPr>
          <w:ilvl w:val="0"/>
          <w:numId w:val="18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恢复扫描；</w:t>
      </w:r>
    </w:p>
    <w:p>
      <w:pPr>
        <w:numPr>
          <w:ilvl w:val="0"/>
          <w:numId w:val="18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协议日志。</w:t>
      </w:r>
    </w:p>
    <w:p>
      <w:r>
        <w:rPr>
          <w:rFonts w:ascii="Consolas" w:hAnsi="Consolas" w:eastAsia="Consolas"/>
          <w:b w:val="0"/>
          <w:color w:val="17365D"/>
          <w:sz w:val="20"/>
          <w:shd w:fill="EDF2F7"/>
        </w:rPr>
        <w:t>Server.ListenAndServe</w:t>
      </w:r>
      <w:r>
        <w:rPr>
          <w:rFonts w:ascii="Microsoft YaHei" w:hAnsi="Microsoft YaHei" w:eastAsia="Microsoft YaHei"/>
          <w:b w:val="0"/>
          <w:color w:val="1F2937"/>
          <w:sz w:val="21"/>
        </w:rPr>
        <w:t>、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DisconnectAccount</w:t>
      </w:r>
      <w:r>
        <w:rPr>
          <w:rFonts w:ascii="Microsoft YaHei" w:hAnsi="Microsoft YaHei" w:eastAsia="Microsoft YaHei"/>
          <w:b w:val="0"/>
          <w:color w:val="1F2937"/>
          <w:sz w:val="21"/>
        </w:rPr>
        <w:t>、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PushReceiptWithResult</w:t>
      </w:r>
      <w:r>
        <w:rPr>
          <w:rFonts w:ascii="Microsoft YaHei" w:hAnsi="Microsoft YaHei" w:eastAsia="Microsoft YaHei"/>
          <w:b w:val="0"/>
          <w:color w:val="1F2937"/>
          <w:sz w:val="21"/>
        </w:rPr>
        <w:t xml:space="preserve"> 和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PushUplinkWithResult</w:t>
      </w:r>
      <w:r>
        <w:rPr>
          <w:rFonts w:ascii="Microsoft YaHei" w:hAnsi="Microsoft YaHei" w:eastAsia="Microsoft YaHei"/>
          <w:b w:val="0"/>
          <w:color w:val="1F2937"/>
          <w:sz w:val="21"/>
        </w:rPr>
        <w:t xml:space="preserve"> 等现有入口保持不变。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专项验证：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CMPP 2.0/3.0登录；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单号码、多号码、长短信；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SubmitResp只返回一次；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原始Msg_Id和重启恢复；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下游Deliver ACK；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ACK超时、断线恢复和重复投递幂等；</w:t>
      </w:r>
    </w:p>
    <w:p>
      <w:pPr>
        <w:pStyle w:val="ListBullet"/>
      </w:pPr>
      <w:r>
        <w:rPr>
          <w:rFonts w:ascii="Consolas" w:hAnsi="Consolas" w:eastAsia="Consolas"/>
          <w:b w:val="0"/>
          <w:color w:val="17365D"/>
          <w:sz w:val="20"/>
          <w:shd w:fill="EDF2F7"/>
        </w:rPr>
        <w:t>go test ./...</w:t>
      </w:r>
      <w:r>
        <w:rPr>
          <w:rFonts w:ascii="Microsoft YaHei" w:hAnsi="Microsoft YaHei" w:eastAsia="Microsoft YaHei"/>
          <w:b w:val="0"/>
          <w:color w:val="1F2937"/>
          <w:sz w:val="21"/>
        </w:rPr>
        <w:t>、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go vet ./...</w:t>
      </w:r>
      <w:r>
        <w:rPr>
          <w:rFonts w:ascii="Microsoft YaHei" w:hAnsi="Microsoft YaHei" w:eastAsia="Microsoft YaHei"/>
          <w:b w:val="0"/>
          <w:color w:val="1F2937"/>
          <w:sz w:val="21"/>
        </w:rPr>
        <w:t>和本地SMSC集成测试。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>版本 R7：拆分 Gateway 上游管理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按状态机拆分：</w:t>
      </w:r>
    </w:p>
    <w:p>
      <w:pPr>
        <w:numPr>
          <w:ilvl w:val="0"/>
          <w:numId w:val="19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Manager与通道连接池注册；</w:t>
      </w:r>
    </w:p>
    <w:p>
      <w:pPr>
        <w:numPr>
          <w:ilvl w:val="0"/>
          <w:numId w:val="19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connectionPool；</w:t>
      </w:r>
    </w:p>
    <w:p>
      <w:pPr>
        <w:numPr>
          <w:ilvl w:val="0"/>
          <w:numId w:val="19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connection生命周期；</w:t>
      </w:r>
    </w:p>
    <w:p>
      <w:pPr>
        <w:numPr>
          <w:ilvl w:val="0"/>
          <w:numId w:val="19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重连调度；</w:t>
      </w:r>
    </w:p>
    <w:p>
      <w:pPr>
        <w:numPr>
          <w:ilvl w:val="0"/>
          <w:numId w:val="19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窗口和心跳；</w:t>
      </w:r>
    </w:p>
    <w:p>
      <w:pPr>
        <w:numPr>
          <w:ilvl w:val="0"/>
          <w:numId w:val="19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Submit与长短信分片；</w:t>
      </w:r>
    </w:p>
    <w:p>
      <w:pPr>
        <w:numPr>
          <w:ilvl w:val="0"/>
          <w:numId w:val="19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Deliver、回执和上行；</w:t>
      </w:r>
    </w:p>
    <w:p>
      <w:pPr>
        <w:numPr>
          <w:ilvl w:val="0"/>
          <w:numId w:val="19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协议日志与API回调。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保持同一 package，避免同时修改公开接口和队列契约。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专项验证：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多连接池；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窗口满和TPS限制；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网络断开与自动重连；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鉴权失败分类；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长短信每分片提交结果；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迟到回执；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上行内容编码；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ConnectionState汇报。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>版本 R8：发送链第一阶段——抽离纯逻辑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这是发送链正式拆分的准备版本，不先动核心事务。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优先抽离：</w:t>
      </w:r>
    </w:p>
    <w:p>
      <w:pPr>
        <w:numPr>
          <w:ilvl w:val="0"/>
          <w:numId w:val="20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DTO、事件和队列契约；</w:t>
      </w:r>
    </w:p>
    <w:p>
      <w:pPr>
        <w:numPr>
          <w:ilvl w:val="0"/>
          <w:numId w:val="20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状态常量和错误分类；</w:t>
      </w:r>
    </w:p>
    <w:p>
      <w:pPr>
        <w:numPr>
          <w:ilvl w:val="0"/>
          <w:numId w:val="20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号码和发送资源判定；</w:t>
      </w:r>
    </w:p>
    <w:p>
      <w:pPr>
        <w:numPr>
          <w:ilvl w:val="0"/>
          <w:numId w:val="20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模板、签名、引流分类；</w:t>
      </w:r>
    </w:p>
    <w:p>
      <w:pPr>
        <w:numPr>
          <w:ilvl w:val="0"/>
          <w:numId w:val="20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通道候选排序的纯策略；</w:t>
      </w:r>
    </w:p>
    <w:p>
      <w:pPr>
        <w:numPr>
          <w:ilvl w:val="0"/>
          <w:numId w:val="20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回执状态映射；</w:t>
      </w:r>
    </w:p>
    <w:p>
      <w:pPr>
        <w:numPr>
          <w:ilvl w:val="0"/>
          <w:numId w:val="20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分片聚合计算；</w:t>
      </w:r>
    </w:p>
    <w:p>
      <w:pPr>
        <w:numPr>
          <w:ilvl w:val="0"/>
          <w:numId w:val="20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幂等键和事件键生成。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 xml:space="preserve">完成后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SendChainService</w:t>
      </w:r>
      <w:r>
        <w:rPr>
          <w:rFonts w:ascii="Microsoft YaHei" w:hAnsi="Microsoft YaHei" w:eastAsia="Microsoft YaHei"/>
          <w:b w:val="0"/>
          <w:color w:val="1F2937"/>
          <w:sz w:val="21"/>
        </w:rPr>
        <w:t xml:space="preserve"> 仍负责数据库事务、队列发布和顶层编排。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专项验证：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移动前后的输入输出逐例一致；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不新增数据库查询；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不改变事务范围；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不改变日志字段、幂等键和队列消息。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>版本 R9：发送链第二阶段——拆分入口和提交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每次只迁移一个入口：</w:t>
      </w:r>
    </w:p>
    <w:p>
      <w:pPr>
        <w:numPr>
          <w:ilvl w:val="0"/>
          <w:numId w:val="21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客户端批量任务入口；</w:t>
      </w:r>
    </w:p>
    <w:p>
      <w:pPr>
        <w:numPr>
          <w:ilvl w:val="0"/>
          <w:numId w:val="21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HTTP API入口；</w:t>
      </w:r>
    </w:p>
    <w:p>
      <w:pPr>
        <w:numPr>
          <w:ilvl w:val="0"/>
          <w:numId w:val="21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CMPP入站入口；</w:t>
      </w:r>
    </w:p>
    <w:p>
      <w:pPr>
        <w:numPr>
          <w:ilvl w:val="0"/>
          <w:numId w:val="21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审核通过后的继续发送；</w:t>
      </w:r>
    </w:p>
    <w:p>
      <w:pPr>
        <w:numPr>
          <w:ilvl w:val="0"/>
          <w:numId w:val="21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Gateway提交发布。</w:t>
      </w:r>
    </w:p>
    <w:p>
      <w:r>
        <w:rPr>
          <w:rFonts w:ascii="Consolas" w:hAnsi="Consolas" w:eastAsia="Consolas"/>
          <w:b w:val="0"/>
          <w:color w:val="17365D"/>
          <w:sz w:val="20"/>
          <w:shd w:fill="EDF2F7"/>
        </w:rPr>
        <w:t>SendChainService</w:t>
      </w:r>
      <w:r>
        <w:rPr>
          <w:rFonts w:ascii="Microsoft YaHei" w:hAnsi="Microsoft YaHei" w:eastAsia="Microsoft YaHei"/>
          <w:b w:val="0"/>
          <w:color w:val="1F2937"/>
          <w:sz w:val="21"/>
        </w:rPr>
        <w:t xml:space="preserve"> 作为Facade保持控制器和其他模块调用稳定。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专项验证：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格式非法和黑名单号码不计频控；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任务级风控与号码级风控；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每号码独立记录；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余额预占、扣费和释放；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应用日限额；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一次业务短信、长短信分片和补发的计数口径；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SubmitResp与最终回执的区别。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>版本 R10：发送链第三阶段——拆分回执、补发和下游投递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最后处理事故影响最大的部分：</w:t>
      </w:r>
    </w:p>
    <w:p>
      <w:pPr>
        <w:numPr>
          <w:ilvl w:val="0"/>
          <w:numId w:val="22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Gateway提交结果；</w:t>
      </w:r>
    </w:p>
    <w:p>
      <w:pPr>
        <w:numPr>
          <w:ilvl w:val="0"/>
          <w:numId w:val="22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分片提交审计；</w:t>
      </w:r>
    </w:p>
    <w:p>
      <w:pPr>
        <w:numPr>
          <w:ilvl w:val="0"/>
          <w:numId w:val="22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分片回执；</w:t>
      </w:r>
    </w:p>
    <w:p>
      <w:pPr>
        <w:numPr>
          <w:ilvl w:val="0"/>
          <w:numId w:val="22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最终状态聚合；</w:t>
      </w:r>
    </w:p>
    <w:p>
      <w:pPr>
        <w:numPr>
          <w:ilvl w:val="0"/>
          <w:numId w:val="22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失败补发抢占；</w:t>
      </w:r>
    </w:p>
    <w:p>
      <w:pPr>
        <w:numPr>
          <w:ilvl w:val="0"/>
          <w:numId w:val="22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退款和预占释放；</w:t>
      </w:r>
    </w:p>
    <w:p>
      <w:pPr>
        <w:numPr>
          <w:ilvl w:val="0"/>
          <w:numId w:val="22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CMPP/HTTP最终回执投递；</w:t>
      </w:r>
    </w:p>
    <w:p>
      <w:pPr>
        <w:numPr>
          <w:ilvl w:val="0"/>
          <w:numId w:val="22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超时扫描。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必须保留：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来源提交记录唯一补发关系；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PostgreSQL事务锁和唯一约束；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账务稳定幂等键；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每短信唯一最终回执；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迟到旧尝试不得覆盖当前尝试；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历史事故记录不得删除。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该版本建议继续拆成多个发布，不应一次完成全部八项。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>版本 R11：样式和剩余页面整理</w:t>
      </w:r>
    </w:p>
    <w:p>
      <w:r>
        <w:rPr>
          <w:rFonts w:ascii="Consolas" w:hAnsi="Consolas" w:eastAsia="Consolas"/>
          <w:b w:val="0"/>
          <w:color w:val="17365D"/>
          <w:sz w:val="20"/>
          <w:shd w:fill="EDF2F7"/>
        </w:rPr>
        <w:t>global.css</w:t>
      </w:r>
      <w:r>
        <w:rPr>
          <w:rFonts w:ascii="Microsoft YaHei" w:hAnsi="Microsoft YaHei" w:eastAsia="Microsoft YaHei"/>
          <w:b w:val="0"/>
          <w:color w:val="1F2937"/>
          <w:sz w:val="21"/>
        </w:rPr>
        <w:t xml:space="preserve"> 不按固定行数硬切，而按作用域迁移：</w:t>
      </w:r>
    </w:p>
    <w:p>
      <w:pPr>
        <w:numPr>
          <w:ilvl w:val="0"/>
          <w:numId w:val="23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tokens和reset；</w:t>
      </w:r>
    </w:p>
    <w:p>
      <w:pPr>
        <w:numPr>
          <w:ilvl w:val="0"/>
          <w:numId w:val="23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AppShell与通用布局；</w:t>
      </w:r>
    </w:p>
    <w:p>
      <w:pPr>
        <w:numPr>
          <w:ilvl w:val="0"/>
          <w:numId w:val="23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通用表格、表单、弹窗；</w:t>
      </w:r>
    </w:p>
    <w:p>
      <w:pPr>
        <w:numPr>
          <w:ilvl w:val="0"/>
          <w:numId w:val="23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admin页面域；</w:t>
      </w:r>
    </w:p>
    <w:p>
      <w:pPr>
        <w:numPr>
          <w:ilvl w:val="0"/>
          <w:numId w:val="23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client页面域；</w:t>
      </w:r>
    </w:p>
    <w:p>
      <w:pPr>
        <w:numPr>
          <w:ilvl w:val="0"/>
          <w:numId w:val="23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单页面样式。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迁移时保持入口加载顺序，优先使用CSS Layers或明确的文件顺序，不在同一提交中同时修改选择器权重。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每次只迁移一个页面域并完成：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桌面宽屏；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1024px；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768px；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375px；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弹窗、长表格、空状态、错误状态；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截图对比和控制台检查。</w:t>
      </w:r>
    </w:p>
    <w:p>
      <w:pPr>
        <w:pStyle w:val="Heading1"/>
        <w:pBdr>
          <w:bottom w:val="single" w:sz="8" w:space="3" w:color="DCE6F1"/>
        </w:pBdr>
      </w:pPr>
      <w:r>
        <w:rPr>
          <w:rFonts w:ascii="Microsoft YaHei" w:hAnsi="Microsoft YaHei" w:eastAsia="Microsoft YaHei"/>
          <w:b/>
          <w:color w:val="1F4E79"/>
          <w:sz w:val="32"/>
        </w:rPr>
        <w:t>6. 每个拆分版本的固定执行步骤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>6.1 开始前</w:t>
      </w:r>
    </w:p>
    <w:p>
      <w:pPr>
        <w:numPr>
          <w:ilvl w:val="0"/>
          <w:numId w:val="24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 xml:space="preserve">执行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git status --short --branch</w:t>
      </w:r>
      <w:r>
        <w:rPr>
          <w:rFonts w:ascii="Microsoft YaHei" w:hAnsi="Microsoft YaHei" w:eastAsia="Microsoft YaHei"/>
          <w:b w:val="0"/>
          <w:color w:val="1F2937"/>
          <w:sz w:val="21"/>
        </w:rPr>
        <w:t>。</w:t>
      </w:r>
    </w:p>
    <w:p>
      <w:pPr>
        <w:numPr>
          <w:ilvl w:val="0"/>
          <w:numId w:val="24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 xml:space="preserve">执行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git diff</w:t>
      </w:r>
      <w:r>
        <w:rPr>
          <w:rFonts w:ascii="Microsoft YaHei" w:hAnsi="Microsoft YaHei" w:eastAsia="Microsoft YaHei"/>
          <w:b w:val="0"/>
          <w:color w:val="1F2937"/>
          <w:sz w:val="21"/>
        </w:rPr>
        <w:t>。</w:t>
      </w:r>
    </w:p>
    <w:p>
      <w:pPr>
        <w:numPr>
          <w:ilvl w:val="0"/>
          <w:numId w:val="24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 xml:space="preserve">执行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git fetch</w:t>
      </w:r>
      <w:r>
        <w:rPr>
          <w:rFonts w:ascii="Microsoft YaHei" w:hAnsi="Microsoft YaHei" w:eastAsia="Microsoft YaHei"/>
          <w:b w:val="0"/>
          <w:color w:val="1F2937"/>
          <w:sz w:val="21"/>
        </w:rPr>
        <w:t>。</w:t>
      </w:r>
    </w:p>
    <w:p>
      <w:pPr>
        <w:numPr>
          <w:ilvl w:val="0"/>
          <w:numId w:val="24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 xml:space="preserve">分别确认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HEAD</w:t>
      </w:r>
      <w:r>
        <w:rPr>
          <w:rFonts w:ascii="Microsoft YaHei" w:hAnsi="Microsoft YaHei" w:eastAsia="Microsoft YaHei"/>
          <w:b w:val="0"/>
          <w:color w:val="1F2937"/>
          <w:sz w:val="21"/>
        </w:rPr>
        <w:t xml:space="preserve"> 和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origin/main</w:t>
      </w:r>
      <w:r>
        <w:rPr>
          <w:rFonts w:ascii="Microsoft YaHei" w:hAnsi="Microsoft YaHei" w:eastAsia="Microsoft YaHei"/>
          <w:b w:val="0"/>
          <w:color w:val="1F2937"/>
          <w:sz w:val="21"/>
        </w:rPr>
        <w:t>。</w:t>
      </w:r>
    </w:p>
    <w:p>
      <w:pPr>
        <w:numPr>
          <w:ilvl w:val="0"/>
          <w:numId w:val="24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 xml:space="preserve">完整阅读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docs/testing-progress.md</w:t>
      </w:r>
      <w:r>
        <w:rPr>
          <w:rFonts w:ascii="Microsoft YaHei" w:hAnsi="Microsoft YaHei" w:eastAsia="Microsoft YaHei"/>
          <w:b w:val="0"/>
          <w:color w:val="1F2937"/>
          <w:sz w:val="21"/>
        </w:rPr>
        <w:t xml:space="preserve"> 最新记录。</w:t>
      </w:r>
    </w:p>
    <w:p>
      <w:pPr>
        <w:numPr>
          <w:ilvl w:val="0"/>
          <w:numId w:val="24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识别并保护其他会话的未提交修改和未跟踪文件。</w:t>
      </w:r>
    </w:p>
    <w:p>
      <w:pPr>
        <w:numPr>
          <w:ilvl w:val="0"/>
          <w:numId w:val="24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明确本版本唯一拆分边界、负责人和禁止触碰的文件。</w:t>
      </w:r>
    </w:p>
    <w:p>
      <w:pPr>
        <w:numPr>
          <w:ilvl w:val="0"/>
          <w:numId w:val="24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记录拆分前全量测试结果。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>6.2 实施中</w:t>
      </w:r>
    </w:p>
    <w:p>
      <w:pPr>
        <w:numPr>
          <w:ilvl w:val="0"/>
          <w:numId w:val="25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先补特征测试。</w:t>
      </w:r>
    </w:p>
    <w:p>
      <w:pPr>
        <w:numPr>
          <w:ilvl w:val="0"/>
          <w:numId w:val="25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只移动代码，不改业务。</w:t>
      </w:r>
    </w:p>
    <w:p>
      <w:pPr>
        <w:numPr>
          <w:ilvl w:val="0"/>
          <w:numId w:val="25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保留原门面和公开签名。</w:t>
      </w:r>
    </w:p>
    <w:p>
      <w:pPr>
        <w:numPr>
          <w:ilvl w:val="0"/>
          <w:numId w:val="25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每完成一个委托点立即运行定向测试和类型检查。</w:t>
      </w:r>
    </w:p>
    <w:p>
      <w:pPr>
        <w:numPr>
          <w:ilvl w:val="0"/>
          <w:numId w:val="25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检查数据库事务、锁、幂等键和查询次数。</w:t>
      </w:r>
    </w:p>
    <w:p>
      <w:pPr>
        <w:numPr>
          <w:ilvl w:val="0"/>
          <w:numId w:val="25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检查是否形成循环依赖。</w:t>
      </w:r>
    </w:p>
    <w:p>
      <w:pPr>
        <w:numPr>
          <w:ilvl w:val="0"/>
          <w:numId w:val="25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给复杂并发、事务和协议边界添加解释“为什么”的注释。</w:t>
      </w:r>
    </w:p>
    <w:p>
      <w:pPr>
        <w:numPr>
          <w:ilvl w:val="0"/>
          <w:numId w:val="25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如果修改范围超过原计划，先停止并重新评估，不顺手扩大重构。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>6.3 发布前门禁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按模块风险选择，但完整发布至少包括：</w:t>
      </w:r>
    </w:p>
    <w:p>
      <w:pPr>
        <w:pStyle w:val="ListBullet"/>
      </w:pPr>
      <w:r>
        <w:rPr>
          <w:rFonts w:ascii="Consolas" w:hAnsi="Consolas" w:eastAsia="Consolas"/>
          <w:b w:val="0"/>
          <w:color w:val="17365D"/>
          <w:sz w:val="20"/>
          <w:shd w:fill="EDF2F7"/>
        </w:rPr>
        <w:t>git diff --check</w:t>
      </w:r>
      <w:r>
        <w:rPr>
          <w:rFonts w:ascii="Microsoft YaHei" w:hAnsi="Microsoft YaHei" w:eastAsia="Microsoft YaHei"/>
          <w:b w:val="0"/>
          <w:color w:val="1F2937"/>
          <w:sz w:val="21"/>
        </w:rPr>
        <w:t>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Prisma format、validate、generate；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API TypeScript正式构建；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API全量测试；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前端TypeScript和Vite生产构建；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 xml:space="preserve">Gateway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go test ./...</w:t>
      </w:r>
      <w:r>
        <w:rPr>
          <w:rFonts w:ascii="Microsoft YaHei" w:hAnsi="Microsoft YaHei" w:eastAsia="Microsoft YaHei"/>
          <w:b w:val="0"/>
          <w:color w:val="1F2937"/>
          <w:sz w:val="21"/>
        </w:rPr>
        <w:t>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 xml:space="preserve">Gateway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go vet ./...</w:t>
      </w:r>
      <w:r>
        <w:rPr>
          <w:rFonts w:ascii="Microsoft YaHei" w:hAnsi="Microsoft YaHei" w:eastAsia="Microsoft YaHei"/>
          <w:b w:val="0"/>
          <w:color w:val="1F2937"/>
          <w:sz w:val="21"/>
        </w:rPr>
        <w:t>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依赖安全门禁；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真实PostgreSQL和真实API关键路径；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对应页面登录后视觉和交互；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Redis Stream pending/lag；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不发送真实短信的无副作用验证。</w:t>
      </w:r>
    </w:p>
    <w:p>
      <w:pPr>
        <w:pStyle w:val="Heading2"/>
      </w:pPr>
      <w:r>
        <w:rPr>
          <w:rFonts w:ascii="Microsoft YaHei" w:hAnsi="Microsoft YaHei" w:eastAsia="Microsoft YaHei"/>
          <w:b/>
          <w:color w:val="1F4E79"/>
          <w:sz w:val="26"/>
        </w:rPr>
        <w:t>6.4 发布后</w:t>
      </w:r>
    </w:p>
    <w:p>
      <w:pPr>
        <w:numPr>
          <w:ilvl w:val="0"/>
          <w:numId w:val="26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只使用标准部署脚本和精确Git提交。</w:t>
      </w:r>
    </w:p>
    <w:p>
      <w:pPr>
        <w:numPr>
          <w:ilvl w:val="0"/>
          <w:numId w:val="26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发布前备份PostgreSQL、运行源码和环境文件。</w:t>
      </w:r>
    </w:p>
    <w:p>
      <w:pPr>
        <w:numPr>
          <w:ilvl w:val="0"/>
          <w:numId w:val="26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Gateway先于API重启。</w:t>
      </w:r>
    </w:p>
    <w:p>
      <w:pPr>
        <w:numPr>
          <w:ilvl w:val="0"/>
          <w:numId w:val="26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检查服务、端口、health、Redis、Stream和错误日志。</w:t>
      </w:r>
    </w:p>
    <w:p>
      <w:pPr>
        <w:numPr>
          <w:ilvl w:val="0"/>
          <w:numId w:val="26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对本次拆分的业务域进行真实只读或安全写入验证。</w:t>
      </w:r>
    </w:p>
    <w:p>
      <w:pPr>
        <w:numPr>
          <w:ilvl w:val="0"/>
          <w:numId w:val="26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至少观察一个稳定窗口，再开始下一拆分版本。</w:t>
      </w:r>
    </w:p>
    <w:p>
      <w:pPr>
        <w:numPr>
          <w:ilvl w:val="0"/>
          <w:numId w:val="26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 xml:space="preserve">在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docs/testing-progress.md</w:t>
      </w:r>
      <w:r>
        <w:rPr>
          <w:rFonts w:ascii="Microsoft YaHei" w:hAnsi="Microsoft YaHei" w:eastAsia="Microsoft YaHei"/>
          <w:b w:val="0"/>
          <w:color w:val="1F2937"/>
          <w:sz w:val="21"/>
        </w:rPr>
        <w:t xml:space="preserve"> 记录实际结果和未完成项。</w:t>
      </w:r>
    </w:p>
    <w:p>
      <w:pPr>
        <w:pStyle w:val="Heading1"/>
        <w:pBdr>
          <w:bottom w:val="single" w:sz="8" w:space="3" w:color="DCE6F1"/>
        </w:pBdr>
      </w:pPr>
      <w:r>
        <w:rPr>
          <w:rFonts w:ascii="Microsoft YaHei" w:hAnsi="Microsoft YaHei" w:eastAsia="Microsoft YaHei"/>
          <w:b/>
          <w:color w:val="1F4E79"/>
          <w:sz w:val="32"/>
        </w:rPr>
        <w:t>7. 回滚策略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拆分版本必须做到：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不包含无关需求；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不包含不可逆数据迁移；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原门面仍存在；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新旧模块之间只有清晰委托关系；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可以通过回滚该版本Git提交恢复原实现。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如果拆分确实需要migration，应只做向前兼容的新增，先部署兼容代码，再迁移读取，最后在更晚版本清理旧结构。禁止在同一版本删除旧字段或历史数据。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触发回滚的条件包括：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API响应结构变化；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数据库写入数量或事务边界变化；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余额、退款、频控、补发或回执出现重复；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Redis Stream pending或lag异常增长；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Gateway连接、ACK或重连行为变化；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error日志明显增加；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页面关键流程无法完成；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无法在短时间内解释差异来自何处。</w:t>
      </w:r>
    </w:p>
    <w:p>
      <w:pPr>
        <w:pStyle w:val="Heading1"/>
        <w:pBdr>
          <w:bottom w:val="single" w:sz="8" w:space="3" w:color="DCE6F1"/>
        </w:pBdr>
      </w:pPr>
      <w:r>
        <w:rPr>
          <w:rFonts w:ascii="Microsoft YaHei" w:hAnsi="Microsoft YaHei" w:eastAsia="Microsoft YaHei"/>
          <w:b/>
          <w:color w:val="1F4E79"/>
          <w:sz w:val="32"/>
        </w:rPr>
        <w:t>8. 文件大小和依赖健康目标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这些是方向性目标，不作为机械验收条件：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普通业务Service建议控制在300至600行；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Facade建议控制在100至300行；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单一React页面建议控制在300至500行；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单个测试文件建议控制在800行以内，并按业务域拆分；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单个文件不应同时包含DTO、数据库查询、状态机、外部调用和页面展示五类职责；</w:t>
      </w:r>
    </w:p>
    <w:p>
      <w:pPr>
        <w:pStyle w:val="ListBullet"/>
      </w:pPr>
      <w:r>
        <w:rPr>
          <w:rFonts w:ascii="Microsoft YaHei" w:hAnsi="Microsoft YaHei" w:eastAsia="Microsoft YaHei"/>
          <w:b w:val="0"/>
          <w:color w:val="1F2937"/>
          <w:sz w:val="21"/>
        </w:rPr>
        <w:t>新业务应直接进入对应子模块，不再回填到旧大文件。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如果拆分后文件虽小但依赖更多、事务更散、调用链更长，则视为失败拆分。</w:t>
      </w:r>
    </w:p>
    <w:p>
      <w:pPr>
        <w:pStyle w:val="Heading1"/>
        <w:pBdr>
          <w:bottom w:val="single" w:sz="8" w:space="3" w:color="DCE6F1"/>
        </w:pBdr>
      </w:pPr>
      <w:r>
        <w:rPr>
          <w:rFonts w:ascii="Microsoft YaHei" w:hAnsi="Microsoft YaHei" w:eastAsia="Microsoft YaHei"/>
          <w:b/>
          <w:color w:val="1F4E79"/>
          <w:sz w:val="32"/>
        </w:rPr>
        <w:t>9. 不建议采用的做法</w:t>
      </w:r>
    </w:p>
    <w:p>
      <w:pPr>
        <w:numPr>
          <w:ilvl w:val="0"/>
          <w:numId w:val="27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一次性重写整个大文件。</w:t>
      </w:r>
    </w:p>
    <w:p>
      <w:pPr>
        <w:numPr>
          <w:ilvl w:val="0"/>
          <w:numId w:val="27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一边拆分一边更换框架、状态库或ORM。</w:t>
      </w:r>
    </w:p>
    <w:p>
      <w:pPr>
        <w:numPr>
          <w:ilvl w:val="0"/>
          <w:numId w:val="27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同时重命名大量方法和字段。</w:t>
      </w:r>
    </w:p>
    <w:p>
      <w:pPr>
        <w:numPr>
          <w:ilvl w:val="0"/>
          <w:numId w:val="27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仅依靠TypeScript编译通过判断行为没变。</w:t>
      </w:r>
    </w:p>
    <w:p>
      <w:pPr>
        <w:numPr>
          <w:ilvl w:val="0"/>
          <w:numId w:val="27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先删除旧门面，再批量修改所有调用方。</w:t>
      </w:r>
    </w:p>
    <w:p>
      <w:pPr>
        <w:numPr>
          <w:ilvl w:val="0"/>
          <w:numId w:val="27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 xml:space="preserve">为了减少行数把代码拆成大量无业务含义的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utils.ts</w:t>
      </w:r>
      <w:r>
        <w:rPr>
          <w:rFonts w:ascii="Microsoft YaHei" w:hAnsi="Microsoft YaHei" w:eastAsia="Microsoft YaHei"/>
          <w:b w:val="0"/>
          <w:color w:val="1F2937"/>
          <w:sz w:val="21"/>
        </w:rPr>
        <w:t>。</w:t>
      </w:r>
    </w:p>
    <w:p>
      <w:pPr>
        <w:numPr>
          <w:ilvl w:val="0"/>
          <w:numId w:val="27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把事务拆到多个Service后分别提交。</w:t>
      </w:r>
    </w:p>
    <w:p>
      <w:pPr>
        <w:numPr>
          <w:ilvl w:val="0"/>
          <w:numId w:val="27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用Mock通过替代真实数据库、Redis、Gateway和页面验证。</w:t>
      </w:r>
    </w:p>
    <w:p>
      <w:pPr>
        <w:numPr>
          <w:ilvl w:val="0"/>
          <w:numId w:val="27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多个会话同时修改同一个核心文件。</w:t>
      </w:r>
    </w:p>
    <w:p>
      <w:pPr>
        <w:numPr>
          <w:ilvl w:val="0"/>
          <w:numId w:val="27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 w:val="0"/>
          <w:color w:val="1F2937"/>
          <w:sz w:val="21"/>
        </w:rPr>
        <w:t>在发送链或Gateway重构版本顺手加入新功能。</w:t>
      </w:r>
    </w:p>
    <w:p>
      <w:pPr>
        <w:pStyle w:val="Heading1"/>
        <w:pBdr>
          <w:bottom w:val="single" w:sz="8" w:space="3" w:color="DCE6F1"/>
        </w:pBdr>
      </w:pPr>
      <w:r>
        <w:rPr>
          <w:rFonts w:ascii="Microsoft YaHei" w:hAnsi="Microsoft YaHei" w:eastAsia="Microsoft YaHei"/>
          <w:b/>
          <w:color w:val="1F4E79"/>
          <w:sz w:val="32"/>
        </w:rPr>
        <w:t>10. 推荐起步顺序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实际实施时推荐从以下三个版本开始：</w:t>
      </w:r>
    </w:p>
    <w:p>
      <w:pPr>
        <w:numPr>
          <w:ilvl w:val="0"/>
          <w:numId w:val="28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/>
          <w:color w:val="1F2937"/>
          <w:sz w:val="21"/>
        </w:rPr>
        <w:t>R0 安全护栏</w:t>
      </w:r>
      <w:r>
        <w:rPr>
          <w:rFonts w:ascii="Microsoft YaHei" w:hAnsi="Microsoft YaHei" w:eastAsia="Microsoft YaHei"/>
          <w:b w:val="0"/>
          <w:color w:val="1F2937"/>
          <w:sz w:val="21"/>
        </w:rPr>
        <w:t>：没有生产代码移动，先补特征测试和职责索引。</w:t>
      </w:r>
    </w:p>
    <w:p>
      <w:pPr>
        <w:numPr>
          <w:ilvl w:val="0"/>
          <w:numId w:val="28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/>
          <w:color w:val="1F2937"/>
          <w:sz w:val="21"/>
        </w:rPr>
        <w:t>R1.1 前端请求核心</w:t>
      </w:r>
      <w:r>
        <w:rPr>
          <w:rFonts w:ascii="Microsoft YaHei" w:hAnsi="Microsoft YaHei" w:eastAsia="Microsoft YaHei"/>
          <w:b w:val="0"/>
          <w:color w:val="1F2937"/>
          <w:sz w:val="21"/>
        </w:rPr>
        <w:t xml:space="preserve">：只抽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adminApi.ts</w:t>
      </w:r>
      <w:r>
        <w:rPr>
          <w:rFonts w:ascii="Microsoft YaHei" w:hAnsi="Microsoft YaHei" w:eastAsia="Microsoft YaHei"/>
          <w:b w:val="0"/>
          <w:color w:val="1F2937"/>
          <w:sz w:val="21"/>
        </w:rPr>
        <w:t xml:space="preserve"> 的HTTP、错误和上传基础能力，保留全部原导出。</w:t>
      </w:r>
    </w:p>
    <w:p>
      <w:pPr>
        <w:numPr>
          <w:ilvl w:val="0"/>
          <w:numId w:val="28"/>
        </w:numPr>
        <w:spacing w:after="60" w:line="283" w:lineRule="auto"/>
        <w:ind w:left="425" w:hanging="255"/>
      </w:pPr>
      <w:r>
        <w:rPr>
          <w:rFonts w:ascii="Microsoft YaHei" w:hAnsi="Microsoft YaHei" w:eastAsia="Microsoft YaHei"/>
          <w:b/>
          <w:color w:val="1F2937"/>
          <w:sz w:val="21"/>
        </w:rPr>
        <w:t>R1.2 企业与用户API</w:t>
      </w:r>
      <w:r>
        <w:rPr>
          <w:rFonts w:ascii="Microsoft YaHei" w:hAnsi="Microsoft YaHei" w:eastAsia="Microsoft YaHei"/>
          <w:b w:val="0"/>
          <w:color w:val="1F2937"/>
          <w:sz w:val="21"/>
        </w:rPr>
        <w:t>：选择低副作用领域验证兼容门面模式。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 xml:space="preserve">完成并稳定发布后，再进入 </w:t>
      </w:r>
      <w:r>
        <w:rPr>
          <w:rFonts w:ascii="Consolas" w:hAnsi="Consolas" w:eastAsia="Consolas"/>
          <w:b w:val="0"/>
          <w:color w:val="17365D"/>
          <w:sz w:val="20"/>
          <w:shd w:fill="EDF2F7"/>
        </w:rPr>
        <w:t>OperationsService</w:t>
      </w:r>
      <w:r>
        <w:rPr>
          <w:rFonts w:ascii="Microsoft YaHei" w:hAnsi="Microsoft YaHei" w:eastAsia="Microsoft YaHei"/>
          <w:b w:val="0"/>
          <w:color w:val="1F2937"/>
          <w:sz w:val="21"/>
        </w:rPr>
        <w:t>。发送链和Gateway不要作为第一个拆分试点。</w:t>
      </w:r>
    </w:p>
    <w:p>
      <w:pPr>
        <w:pStyle w:val="Heading1"/>
        <w:pBdr>
          <w:bottom w:val="single" w:sz="8" w:space="3" w:color="DCE6F1"/>
        </w:pBdr>
      </w:pPr>
      <w:r>
        <w:rPr>
          <w:rFonts w:ascii="Microsoft YaHei" w:hAnsi="Microsoft YaHei" w:eastAsia="Microsoft YaHei"/>
          <w:b/>
          <w:color w:val="1F4E79"/>
          <w:sz w:val="32"/>
        </w:rPr>
        <w:t>11. 每个版本的决策记录模板</w:t>
      </w:r>
    </w:p>
    <w:p>
      <w:pPr>
        <w:pStyle w:val="CodeBlock"/>
        <w:shd w:fill="F3F5F7"/>
      </w:pPr>
      <w:r>
        <w:rPr>
          <w:rFonts w:ascii="Consolas" w:hAnsi="Consolas" w:eastAsia="Consolas"/>
          <w:color w:val="263238"/>
          <w:sz w:val="17"/>
        </w:rPr>
        <w:t>### 拆分版本</w:t>
        <w:br/>
      </w:r>
      <w:r>
        <w:rPr>
          <w:rFonts w:ascii="Consolas" w:hAnsi="Consolas" w:eastAsia="Consolas"/>
          <w:color w:val="263238"/>
          <w:sz w:val="17"/>
        </w:rPr>
        <w:t xml:space="preserve"> </w:t>
        <w:br/>
      </w:r>
      <w:r>
        <w:rPr>
          <w:rFonts w:ascii="Consolas" w:hAnsi="Consolas" w:eastAsia="Consolas"/>
          <w:color w:val="263238"/>
          <w:sz w:val="17"/>
        </w:rPr>
        <w:t>- 目标文件：</w:t>
        <w:br/>
      </w:r>
      <w:r>
        <w:rPr>
          <w:rFonts w:ascii="Consolas" w:hAnsi="Consolas" w:eastAsia="Consolas"/>
          <w:color w:val="263238"/>
          <w:sz w:val="17"/>
        </w:rPr>
        <w:t>- 本次唯一业务域：</w:t>
        <w:br/>
      </w:r>
      <w:r>
        <w:rPr>
          <w:rFonts w:ascii="Consolas" w:hAnsi="Consolas" w:eastAsia="Consolas"/>
          <w:color w:val="263238"/>
          <w:sz w:val="17"/>
        </w:rPr>
        <w:t>- 明确不改的行为：</w:t>
        <w:br/>
      </w:r>
      <w:r>
        <w:rPr>
          <w:rFonts w:ascii="Consolas" w:hAnsi="Consolas" w:eastAsia="Consolas"/>
          <w:color w:val="263238"/>
          <w:sz w:val="17"/>
        </w:rPr>
        <w:t>- 原公开入口：</w:t>
        <w:br/>
      </w:r>
      <w:r>
        <w:rPr>
          <w:rFonts w:ascii="Consolas" w:hAnsi="Consolas" w:eastAsia="Consolas"/>
          <w:color w:val="263238"/>
          <w:sz w:val="17"/>
        </w:rPr>
        <w:t>- 新模块：</w:t>
        <w:br/>
      </w:r>
      <w:r>
        <w:rPr>
          <w:rFonts w:ascii="Consolas" w:hAnsi="Consolas" w:eastAsia="Consolas"/>
          <w:color w:val="263238"/>
          <w:sz w:val="17"/>
        </w:rPr>
        <w:t>- 数据库表：</w:t>
        <w:br/>
      </w:r>
      <w:r>
        <w:rPr>
          <w:rFonts w:ascii="Consolas" w:hAnsi="Consolas" w:eastAsia="Consolas"/>
          <w:color w:val="263238"/>
          <w:sz w:val="17"/>
        </w:rPr>
        <w:t>- 事务和锁：</w:t>
        <w:br/>
      </w:r>
      <w:r>
        <w:rPr>
          <w:rFonts w:ascii="Consolas" w:hAnsi="Consolas" w:eastAsia="Consolas"/>
          <w:color w:val="263238"/>
          <w:sz w:val="17"/>
        </w:rPr>
        <w:t>- Redis/队列/Gateway副作用：</w:t>
        <w:br/>
      </w:r>
      <w:r>
        <w:rPr>
          <w:rFonts w:ascii="Consolas" w:hAnsi="Consolas" w:eastAsia="Consolas"/>
          <w:color w:val="263238"/>
          <w:sz w:val="17"/>
        </w:rPr>
        <w:t>- 特征测试：</w:t>
        <w:br/>
      </w:r>
      <w:r>
        <w:rPr>
          <w:rFonts w:ascii="Consolas" w:hAnsi="Consolas" w:eastAsia="Consolas"/>
          <w:color w:val="263238"/>
          <w:sz w:val="17"/>
        </w:rPr>
        <w:t>- 真实后端验证：</w:t>
        <w:br/>
      </w:r>
      <w:r>
        <w:rPr>
          <w:rFonts w:ascii="Consolas" w:hAnsi="Consolas" w:eastAsia="Consolas"/>
          <w:color w:val="263238"/>
          <w:sz w:val="17"/>
        </w:rPr>
        <w:t>- 页面验证：</w:t>
        <w:br/>
      </w:r>
      <w:r>
        <w:rPr>
          <w:rFonts w:ascii="Consolas" w:hAnsi="Consolas" w:eastAsia="Consolas"/>
          <w:color w:val="263238"/>
          <w:sz w:val="17"/>
        </w:rPr>
        <w:t>- 发布观察指标：</w:t>
        <w:br/>
      </w:r>
      <w:r>
        <w:rPr>
          <w:rFonts w:ascii="Consolas" w:hAnsi="Consolas" w:eastAsia="Consolas"/>
          <w:color w:val="263238"/>
          <w:sz w:val="17"/>
        </w:rPr>
        <w:t>- 回滚提交：</w:t>
        <w:br/>
      </w:r>
      <w:r>
        <w:rPr>
          <w:rFonts w:ascii="Consolas" w:hAnsi="Consolas" w:eastAsia="Consolas"/>
          <w:color w:val="263238"/>
          <w:sz w:val="17"/>
        </w:rPr>
        <w:t>- 遗留项：</w:t>
      </w:r>
    </w:p>
    <w:p>
      <w:r>
        <w:rPr>
          <w:rFonts w:ascii="Microsoft YaHei" w:hAnsi="Microsoft YaHei" w:eastAsia="Microsoft YaHei"/>
          <w:b w:val="0"/>
          <w:color w:val="1F2937"/>
          <w:sz w:val="21"/>
        </w:rPr>
        <w:t>每次开始新拆分版本时，在本路线图基础上另写该版本的短实施计划，不直接把路线图当作可执行变更清单。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935" w:bottom="964" w:left="935" w:header="425" w:footer="425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Microsoft YaHei" w:hAnsi="Microsoft YaHei" w:eastAsia="Microsoft YaHei"/>
        <w:color w:val="667085"/>
        <w:sz w:val="18"/>
      </w:rPr>
      <w:t xml:space="preserve">第 </w:t>
      <w:fldChar w:fldCharType="begin"/>
      <w:instrText xml:space="preserve"> PAGE </w:instrText>
      <w:fldChar w:fldCharType="end"/>
    </w:r>
    <w:r>
      <w:rPr>
        <w:rFonts w:ascii="Microsoft YaHei" w:hAnsi="Microsoft YaHei" w:eastAsia="Microsoft YaHei"/>
        <w:color w:val="667085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67085"/>
        <w:sz w:val="17"/>
      </w:rPr>
      <w:t>CMPP 平台 · 技术治理文档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multiLevelType w:val="singleLevel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255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  <w:lvlOverride w:ilvl="0">
      <w:startOverride w:val="1"/>
    </w:lvlOverride>
  </w:num>
  <w:num w:numId="11">
    <w:abstractNumId w:val="9"/>
    <w:lvlOverride w:ilvl="0">
      <w:startOverride w:val="1"/>
    </w:lvlOverride>
  </w:num>
  <w:num w:numId="12">
    <w:abstractNumId w:val="9"/>
    <w:lvlOverride w:ilvl="0">
      <w:startOverride w:val="1"/>
    </w:lvlOverride>
  </w:num>
  <w:num w:numId="13">
    <w:abstractNumId w:val="9"/>
    <w:lvlOverride w:ilvl="0">
      <w:startOverride w:val="1"/>
    </w:lvlOverride>
  </w:num>
  <w:num w:numId="14">
    <w:abstractNumId w:val="9"/>
    <w:lvlOverride w:ilvl="0">
      <w:startOverride w:val="1"/>
    </w:lvlOverride>
  </w:num>
  <w:num w:numId="15">
    <w:abstractNumId w:val="9"/>
    <w:lvlOverride w:ilvl="0">
      <w:startOverride w:val="1"/>
    </w:lvlOverride>
  </w:num>
  <w:num w:numId="16">
    <w:abstractNumId w:val="9"/>
    <w:lvlOverride w:ilvl="0">
      <w:startOverride w:val="1"/>
    </w:lvlOverride>
  </w:num>
  <w:num w:numId="17">
    <w:abstractNumId w:val="9"/>
    <w:lvlOverride w:ilvl="0">
      <w:startOverride w:val="1"/>
    </w:lvlOverride>
  </w:num>
  <w:num w:numId="18">
    <w:abstractNumId w:val="9"/>
    <w:lvlOverride w:ilvl="0">
      <w:startOverride w:val="1"/>
    </w:lvlOverride>
  </w:num>
  <w:num w:numId="19">
    <w:abstractNumId w:val="9"/>
    <w:lvlOverride w:ilvl="0">
      <w:startOverride w:val="1"/>
    </w:lvlOverride>
  </w:num>
  <w:num w:numId="20">
    <w:abstractNumId w:val="9"/>
    <w:lvlOverride w:ilvl="0">
      <w:startOverride w:val="1"/>
    </w:lvlOverride>
  </w:num>
  <w:num w:numId="21">
    <w:abstractNumId w:val="9"/>
    <w:lvlOverride w:ilvl="0">
      <w:startOverride w:val="1"/>
    </w:lvlOverride>
  </w:num>
  <w:num w:numId="22">
    <w:abstractNumId w:val="9"/>
    <w:lvlOverride w:ilvl="0">
      <w:startOverride w:val="1"/>
    </w:lvlOverride>
  </w:num>
  <w:num w:numId="23">
    <w:abstractNumId w:val="9"/>
    <w:lvlOverride w:ilvl="0">
      <w:startOverride w:val="1"/>
    </w:lvlOverride>
  </w:num>
  <w:num w:numId="24">
    <w:abstractNumId w:val="9"/>
    <w:lvlOverride w:ilvl="0">
      <w:startOverride w:val="1"/>
    </w:lvlOverride>
  </w:num>
  <w:num w:numId="25">
    <w:abstractNumId w:val="9"/>
    <w:lvlOverride w:ilvl="0">
      <w:startOverride w:val="1"/>
    </w:lvlOverride>
  </w:num>
  <w:num w:numId="26">
    <w:abstractNumId w:val="9"/>
    <w:lvlOverride w:ilvl="0">
      <w:startOverride w:val="1"/>
    </w:lvlOverride>
  </w:num>
  <w:num w:numId="27">
    <w:abstractNumId w:val="9"/>
    <w:lvlOverride w:ilvl="0">
      <w:startOverride w:val="1"/>
    </w:lvlOverride>
  </w:num>
  <w:num w:numId="28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00" w:line="288" w:lineRule="auto"/>
    </w:pPr>
    <w:rPr>
      <w:rFonts w:ascii="Microsoft YaHei" w:hAnsi="Microsoft YaHei" w:eastAsia="Microsoft YaHei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1F4E79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1F4E79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17365D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 w:line="283" w:lineRule="auto"/>
      <w:ind w:left="425" w:hanging="255"/>
      <w:contextualSpacing/>
    </w:pPr>
    <w:rPr>
      <w:rFonts w:ascii="Microsoft YaHei" w:hAnsi="Microsoft YaHei" w:eastAsia="Microsoft YaHei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 w:line="283" w:lineRule="auto"/>
      <w:ind w:left="425" w:hanging="255"/>
      <w:contextualSpacing/>
    </w:pPr>
    <w:rPr>
      <w:rFonts w:ascii="Microsoft YaHei" w:hAnsi="Microsoft YaHei" w:eastAsia="Microsoft YaHei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odeBlock">
    <w:name w:val="Code Block"/>
    <w:pPr>
      <w:keepLines/>
      <w:spacing w:before="40" w:after="40" w:line="252" w:lineRule="auto"/>
      <w:ind w:left="198" w:right="142"/>
    </w:pPr>
    <w:rPr>
      <w:rFonts w:ascii="Consolas" w:hAnsi="Consolas" w:eastAsia="Consolas"/>
      <w:color w:val="263238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CMPP 平台代码文件渐进式拆分路线图</dc:title>
  <dc:subject>代码模块化与渐进式重构路线图</dc:subject>
  <dc:creator>CMPP 平台项目组</dc:creator>
  <cp:keywords>CMPP, 模块化, 重构, 路线图, 风险控制</cp:keywords>
  <dc:description>由 Markdown 原文生成的 A4 打印版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